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48" w:rsidRDefault="00AF6848" w:rsidP="00AF6848">
      <w:pPr>
        <w:rPr>
          <w:rFonts w:ascii="Arial" w:hAnsi="Arial" w:cs="Arial"/>
          <w:b/>
          <w:sz w:val="24"/>
          <w:szCs w:val="24"/>
        </w:rPr>
      </w:pPr>
      <w:r>
        <w:rPr>
          <w:rFonts w:ascii="Arial" w:hAnsi="Arial" w:cs="Arial"/>
          <w:b/>
          <w:sz w:val="24"/>
          <w:szCs w:val="24"/>
        </w:rPr>
        <w:t>DBTH WORKFORCE RACE EQUALITY STANDARD ACTION PLAN 2017</w:t>
      </w:r>
    </w:p>
    <w:p w:rsidR="00AF6848" w:rsidRDefault="00AF6848" w:rsidP="00AF6848">
      <w:pPr>
        <w:rPr>
          <w:rFonts w:ascii="Arial" w:hAnsi="Arial" w:cs="Arial"/>
          <w:b/>
          <w:sz w:val="24"/>
          <w:szCs w:val="24"/>
        </w:rPr>
      </w:pPr>
      <w:r w:rsidRPr="00D13205">
        <w:rPr>
          <w:rFonts w:ascii="Arial" w:hAnsi="Arial" w:cs="Arial"/>
          <w:b/>
          <w:sz w:val="24"/>
          <w:szCs w:val="24"/>
        </w:rPr>
        <w:t>Key recommendations for 2017-18</w:t>
      </w:r>
      <w:r>
        <w:rPr>
          <w:rFonts w:ascii="Arial" w:hAnsi="Arial" w:cs="Arial"/>
          <w:b/>
          <w:sz w:val="24"/>
          <w:szCs w:val="24"/>
        </w:rPr>
        <w:t xml:space="preserve"> </w:t>
      </w:r>
    </w:p>
    <w:p w:rsidR="00AF6848" w:rsidRPr="00AF6848" w:rsidRDefault="00AF6848" w:rsidP="00AF6848">
      <w:pPr>
        <w:rPr>
          <w:rFonts w:ascii="Arial" w:hAnsi="Arial" w:cs="Arial"/>
          <w:sz w:val="24"/>
          <w:szCs w:val="24"/>
        </w:rPr>
      </w:pPr>
      <w:r w:rsidRPr="00AF6848">
        <w:rPr>
          <w:rFonts w:ascii="Arial" w:hAnsi="Arial" w:cs="Arial"/>
          <w:sz w:val="24"/>
          <w:szCs w:val="24"/>
        </w:rPr>
        <w:t>(Source: Paper to DBTH Board, July 2017)</w:t>
      </w:r>
    </w:p>
    <w:p w:rsidR="00AF6848" w:rsidRPr="00D13205" w:rsidRDefault="00AF6848" w:rsidP="00AF6848">
      <w:pPr>
        <w:rPr>
          <w:rFonts w:ascii="Arial" w:hAnsi="Arial" w:cs="Arial"/>
          <w:sz w:val="24"/>
          <w:szCs w:val="24"/>
        </w:rPr>
      </w:pPr>
      <w:r w:rsidRPr="00D13205">
        <w:rPr>
          <w:rFonts w:ascii="Arial" w:hAnsi="Arial" w:cs="Arial"/>
          <w:sz w:val="24"/>
          <w:szCs w:val="24"/>
        </w:rPr>
        <w:t>The recommendations focus on improving the quality of our data so that we can better target action; raising awareness across DBTH; and encouraging greater engagement with the local community</w:t>
      </w:r>
      <w:r>
        <w:rPr>
          <w:rFonts w:ascii="Arial" w:hAnsi="Arial" w:cs="Arial"/>
          <w:sz w:val="24"/>
          <w:szCs w:val="24"/>
        </w:rPr>
        <w:t>.</w:t>
      </w:r>
    </w:p>
    <w:p w:rsidR="00AF6848" w:rsidRPr="00D13205" w:rsidRDefault="00AF6848" w:rsidP="00AF6848">
      <w:pPr>
        <w:pStyle w:val="ListParagraph"/>
        <w:numPr>
          <w:ilvl w:val="0"/>
          <w:numId w:val="1"/>
        </w:numPr>
        <w:rPr>
          <w:rFonts w:ascii="Arial" w:hAnsi="Arial" w:cs="Arial"/>
          <w:sz w:val="24"/>
          <w:szCs w:val="24"/>
        </w:rPr>
      </w:pPr>
      <w:r w:rsidRPr="00D13205">
        <w:rPr>
          <w:rFonts w:ascii="Arial" w:hAnsi="Arial" w:cs="Arial"/>
          <w:sz w:val="24"/>
          <w:szCs w:val="24"/>
        </w:rPr>
        <w:t>Recruitment</w:t>
      </w:r>
      <w:r>
        <w:rPr>
          <w:rFonts w:ascii="Arial" w:hAnsi="Arial" w:cs="Arial"/>
          <w:sz w:val="24"/>
          <w:szCs w:val="24"/>
        </w:rPr>
        <w:t xml:space="preserve"> and shortlisting</w:t>
      </w:r>
    </w:p>
    <w:p w:rsidR="00AF6848" w:rsidRPr="00D13205" w:rsidRDefault="00AF6848" w:rsidP="00AF6848">
      <w:pPr>
        <w:pStyle w:val="ListParagraph"/>
        <w:rPr>
          <w:rFonts w:ascii="Arial" w:hAnsi="Arial" w:cs="Arial"/>
          <w:sz w:val="24"/>
          <w:szCs w:val="24"/>
        </w:rPr>
      </w:pPr>
      <w:r w:rsidRPr="00D13205">
        <w:rPr>
          <w:rFonts w:ascii="Arial" w:hAnsi="Arial" w:cs="Arial"/>
          <w:sz w:val="24"/>
          <w:szCs w:val="24"/>
        </w:rPr>
        <w:t>Initially review cur</w:t>
      </w:r>
      <w:r>
        <w:rPr>
          <w:rFonts w:ascii="Arial" w:hAnsi="Arial" w:cs="Arial"/>
          <w:sz w:val="24"/>
          <w:szCs w:val="24"/>
        </w:rPr>
        <w:t xml:space="preserve">rent arrangements with particular focus on comparative success rates through the recruitment process.  Consider </w:t>
      </w:r>
      <w:r w:rsidRPr="00D13205">
        <w:rPr>
          <w:rFonts w:ascii="Arial" w:hAnsi="Arial" w:cs="Arial"/>
          <w:sz w:val="24"/>
          <w:szCs w:val="24"/>
        </w:rPr>
        <w:t>in</w:t>
      </w:r>
      <w:r>
        <w:rPr>
          <w:rFonts w:ascii="Arial" w:hAnsi="Arial" w:cs="Arial"/>
          <w:sz w:val="24"/>
          <w:szCs w:val="24"/>
        </w:rPr>
        <w:t>troducing a reporting regime, where recruiting managers submit short report on the process to Director of POD.  This has proved influential in other Trusts in making recruiting managers ‘think twice’ and reflecting on any unconscious bias.</w:t>
      </w:r>
    </w:p>
    <w:p w:rsidR="00AF6848" w:rsidRPr="00D13205" w:rsidRDefault="00AF6848" w:rsidP="00AF6848">
      <w:pPr>
        <w:pStyle w:val="ListParagraph"/>
        <w:numPr>
          <w:ilvl w:val="0"/>
          <w:numId w:val="1"/>
        </w:numPr>
        <w:rPr>
          <w:rFonts w:ascii="Arial" w:hAnsi="Arial" w:cs="Arial"/>
          <w:sz w:val="24"/>
          <w:szCs w:val="24"/>
        </w:rPr>
      </w:pPr>
      <w:r w:rsidRPr="00D13205">
        <w:rPr>
          <w:rFonts w:ascii="Arial" w:hAnsi="Arial" w:cs="Arial"/>
          <w:sz w:val="24"/>
          <w:szCs w:val="24"/>
        </w:rPr>
        <w:t>Data quality</w:t>
      </w:r>
      <w:r w:rsidRPr="00D13205">
        <w:rPr>
          <w:rFonts w:ascii="Arial" w:hAnsi="Arial" w:cs="Arial"/>
          <w:sz w:val="24"/>
          <w:szCs w:val="24"/>
        </w:rPr>
        <w:br/>
      </w:r>
      <w:r>
        <w:rPr>
          <w:rFonts w:ascii="Arial" w:hAnsi="Arial" w:cs="Arial"/>
          <w:sz w:val="24"/>
          <w:szCs w:val="24"/>
        </w:rPr>
        <w:t>In common with other areas, i</w:t>
      </w:r>
      <w:r w:rsidRPr="00D13205">
        <w:rPr>
          <w:rFonts w:ascii="Arial" w:hAnsi="Arial" w:cs="Arial"/>
          <w:sz w:val="24"/>
          <w:szCs w:val="24"/>
        </w:rPr>
        <w:t xml:space="preserve">mmediate action is needed to improve data held on ESR.  This might include a data cleanse or updating questionnaire.  We also need to reinforce the importance of full data collection at recruitment/appointment.  </w:t>
      </w:r>
    </w:p>
    <w:p w:rsidR="00AF6848" w:rsidRPr="00D13205" w:rsidRDefault="00AF6848" w:rsidP="00AF6848">
      <w:pPr>
        <w:pStyle w:val="ListParagraph"/>
        <w:numPr>
          <w:ilvl w:val="0"/>
          <w:numId w:val="1"/>
        </w:numPr>
        <w:rPr>
          <w:rFonts w:ascii="Arial" w:hAnsi="Arial" w:cs="Arial"/>
          <w:sz w:val="24"/>
          <w:szCs w:val="24"/>
        </w:rPr>
      </w:pPr>
      <w:r w:rsidRPr="00D13205">
        <w:rPr>
          <w:rFonts w:ascii="Arial" w:hAnsi="Arial" w:cs="Arial"/>
          <w:sz w:val="24"/>
          <w:szCs w:val="24"/>
        </w:rPr>
        <w:t>Outreach and External Engagement</w:t>
      </w:r>
      <w:r w:rsidRPr="00D13205">
        <w:rPr>
          <w:rFonts w:ascii="Arial" w:hAnsi="Arial" w:cs="Arial"/>
          <w:sz w:val="24"/>
          <w:szCs w:val="24"/>
        </w:rPr>
        <w:br/>
      </w:r>
      <w:r>
        <w:rPr>
          <w:rFonts w:ascii="Arial" w:hAnsi="Arial" w:cs="Arial"/>
          <w:sz w:val="24"/>
          <w:szCs w:val="24"/>
        </w:rPr>
        <w:t>Our overall ethnicity data masks the failure to reflect the local community amongst our lower pay bands.  That is typically the level at which hospitals draw local people into the workforce. We should look carefully at the planning for the next rounds of cohort recruitment (for Service Assistants and Healthcare Assistants) and ensure we are targeting local ethnic minority groups.</w:t>
      </w:r>
    </w:p>
    <w:p w:rsidR="00AF6848" w:rsidRDefault="00AF6848" w:rsidP="00AF6848">
      <w:pPr>
        <w:pStyle w:val="ListParagraph"/>
        <w:numPr>
          <w:ilvl w:val="0"/>
          <w:numId w:val="1"/>
        </w:numPr>
        <w:rPr>
          <w:rFonts w:ascii="Arial" w:hAnsi="Arial" w:cs="Arial"/>
          <w:sz w:val="24"/>
          <w:szCs w:val="24"/>
        </w:rPr>
      </w:pPr>
      <w:r>
        <w:rPr>
          <w:rFonts w:ascii="Arial" w:hAnsi="Arial" w:cs="Arial"/>
          <w:sz w:val="24"/>
          <w:szCs w:val="24"/>
        </w:rPr>
        <w:t>Workforce Race</w:t>
      </w:r>
      <w:r w:rsidRPr="00D13205">
        <w:rPr>
          <w:rFonts w:ascii="Arial" w:hAnsi="Arial" w:cs="Arial"/>
          <w:sz w:val="24"/>
          <w:szCs w:val="24"/>
        </w:rPr>
        <w:t xml:space="preserve"> Equality Standard 201</w:t>
      </w:r>
      <w:r>
        <w:rPr>
          <w:rFonts w:ascii="Arial" w:hAnsi="Arial" w:cs="Arial"/>
          <w:sz w:val="24"/>
          <w:szCs w:val="24"/>
        </w:rPr>
        <w:t>7</w:t>
      </w:r>
      <w:r>
        <w:rPr>
          <w:rFonts w:ascii="Arial" w:hAnsi="Arial" w:cs="Arial"/>
          <w:sz w:val="24"/>
          <w:szCs w:val="24"/>
        </w:rPr>
        <w:br/>
      </w:r>
      <w:proofErr w:type="gramStart"/>
      <w:r>
        <w:rPr>
          <w:rFonts w:ascii="Arial" w:hAnsi="Arial" w:cs="Arial"/>
          <w:sz w:val="24"/>
          <w:szCs w:val="24"/>
        </w:rPr>
        <w:t>This</w:t>
      </w:r>
      <w:proofErr w:type="gramEnd"/>
      <w:r>
        <w:rPr>
          <w:rFonts w:ascii="Arial" w:hAnsi="Arial" w:cs="Arial"/>
          <w:sz w:val="24"/>
          <w:szCs w:val="24"/>
        </w:rPr>
        <w:t xml:space="preserve"> plan can serve as the basis for our response to this year’s WRES report, as it is drawn from the same data.</w:t>
      </w:r>
    </w:p>
    <w:p w:rsidR="00AF6848" w:rsidRDefault="00AF6848" w:rsidP="00AF6848">
      <w:pPr>
        <w:pStyle w:val="ListParagraph"/>
        <w:numPr>
          <w:ilvl w:val="0"/>
          <w:numId w:val="1"/>
        </w:numPr>
        <w:rPr>
          <w:rFonts w:ascii="Arial" w:hAnsi="Arial" w:cs="Arial"/>
          <w:sz w:val="24"/>
          <w:szCs w:val="24"/>
        </w:rPr>
      </w:pPr>
      <w:r>
        <w:rPr>
          <w:rFonts w:ascii="Arial" w:hAnsi="Arial" w:cs="Arial"/>
          <w:sz w:val="24"/>
          <w:szCs w:val="24"/>
        </w:rPr>
        <w:t>Further analysis</w:t>
      </w:r>
    </w:p>
    <w:p w:rsidR="00AF6848" w:rsidRPr="00D13205" w:rsidRDefault="00AF6848" w:rsidP="00AF6848">
      <w:pPr>
        <w:pStyle w:val="ListParagraph"/>
        <w:rPr>
          <w:rFonts w:ascii="Arial" w:hAnsi="Arial" w:cs="Arial"/>
          <w:sz w:val="24"/>
          <w:szCs w:val="24"/>
        </w:rPr>
      </w:pPr>
      <w:r>
        <w:rPr>
          <w:rFonts w:ascii="Arial" w:hAnsi="Arial" w:cs="Arial"/>
          <w:sz w:val="24"/>
          <w:szCs w:val="24"/>
        </w:rPr>
        <w:t>Conduct benchmarking through the Yorkshire &amp; Humberside Equality &amp; Diversity Regional Network to further investigate disparity in success rates. Also review relative success rates for senior nursing vacancies.</w:t>
      </w:r>
    </w:p>
    <w:p w:rsidR="00AF6848" w:rsidRPr="00D13205" w:rsidRDefault="00AF6848" w:rsidP="00AF6848">
      <w:pPr>
        <w:pStyle w:val="ListParagraph"/>
        <w:rPr>
          <w:rFonts w:ascii="Arial" w:hAnsi="Arial" w:cs="Arial"/>
          <w:color w:val="FF0000"/>
          <w:sz w:val="24"/>
          <w:szCs w:val="24"/>
        </w:rPr>
      </w:pPr>
    </w:p>
    <w:p w:rsidR="00AF6848" w:rsidRPr="00D13205" w:rsidRDefault="00AF6848" w:rsidP="00AF6848">
      <w:pPr>
        <w:rPr>
          <w:rFonts w:ascii="Arial" w:hAnsi="Arial" w:cs="Arial"/>
          <w:sz w:val="24"/>
          <w:szCs w:val="24"/>
        </w:rPr>
      </w:pPr>
      <w:r w:rsidRPr="00D13205">
        <w:rPr>
          <w:rFonts w:ascii="Arial" w:hAnsi="Arial" w:cs="Arial"/>
          <w:sz w:val="24"/>
          <w:szCs w:val="24"/>
        </w:rPr>
        <w:br w:type="page"/>
      </w:r>
    </w:p>
    <w:p w:rsidR="00AF6848" w:rsidRPr="00D13205" w:rsidRDefault="00AF6848" w:rsidP="00AF6848">
      <w:pPr>
        <w:rPr>
          <w:rFonts w:ascii="Arial" w:hAnsi="Arial" w:cs="Arial"/>
          <w:sz w:val="24"/>
          <w:szCs w:val="24"/>
        </w:rPr>
        <w:sectPr w:rsidR="00AF6848" w:rsidRPr="00D1320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p w:rsidR="00AF6848" w:rsidRPr="00D13205" w:rsidRDefault="00AF6848" w:rsidP="00AF6848">
      <w:pPr>
        <w:rPr>
          <w:rFonts w:ascii="Arial" w:hAnsi="Arial" w:cs="Arial"/>
          <w:sz w:val="24"/>
          <w:szCs w:val="24"/>
        </w:rPr>
      </w:pPr>
      <w:bookmarkStart w:id="0" w:name="_GoBack"/>
      <w:bookmarkEnd w:id="0"/>
      <w:r w:rsidRPr="00D13205">
        <w:rPr>
          <w:rFonts w:ascii="Arial" w:hAnsi="Arial" w:cs="Arial"/>
          <w:b/>
          <w:sz w:val="24"/>
          <w:szCs w:val="24"/>
        </w:rPr>
        <w:lastRenderedPageBreak/>
        <w:t>DETAILED WORK PLAN</w:t>
      </w:r>
      <w:r>
        <w:rPr>
          <w:rFonts w:ascii="Arial" w:hAnsi="Arial" w:cs="Arial"/>
          <w:b/>
          <w:sz w:val="24"/>
          <w:szCs w:val="24"/>
        </w:rPr>
        <w:t xml:space="preserve"> - ETHNIC</w:t>
      </w:r>
      <w:r w:rsidRPr="00D13205">
        <w:rPr>
          <w:rFonts w:ascii="Arial" w:hAnsi="Arial" w:cs="Arial"/>
          <w:b/>
          <w:sz w:val="24"/>
          <w:szCs w:val="24"/>
        </w:rPr>
        <w:t>ITY</w:t>
      </w:r>
    </w:p>
    <w:tbl>
      <w:tblPr>
        <w:tblStyle w:val="TableGrid"/>
        <w:tblW w:w="0" w:type="auto"/>
        <w:tblLook w:val="04A0" w:firstRow="1" w:lastRow="0" w:firstColumn="1" w:lastColumn="0" w:noHBand="0" w:noVBand="1"/>
      </w:tblPr>
      <w:tblGrid>
        <w:gridCol w:w="808"/>
        <w:gridCol w:w="4562"/>
        <w:gridCol w:w="1393"/>
        <w:gridCol w:w="1334"/>
        <w:gridCol w:w="1857"/>
        <w:gridCol w:w="4220"/>
      </w:tblGrid>
      <w:tr w:rsidR="00AF6848" w:rsidRPr="00D13205" w:rsidTr="003C00C0">
        <w:tc>
          <w:tcPr>
            <w:tcW w:w="817" w:type="dxa"/>
          </w:tcPr>
          <w:p w:rsidR="00AF6848" w:rsidRPr="00D13205" w:rsidRDefault="00AF6848" w:rsidP="003C00C0">
            <w:pPr>
              <w:rPr>
                <w:rFonts w:ascii="Arial" w:hAnsi="Arial" w:cs="Arial"/>
                <w:b/>
                <w:sz w:val="24"/>
                <w:szCs w:val="24"/>
              </w:rPr>
            </w:pPr>
            <w:r w:rsidRPr="00D13205">
              <w:rPr>
                <w:rFonts w:ascii="Arial" w:hAnsi="Arial" w:cs="Arial"/>
                <w:b/>
                <w:sz w:val="24"/>
                <w:szCs w:val="24"/>
              </w:rPr>
              <w:t>Item</w:t>
            </w:r>
          </w:p>
        </w:tc>
        <w:tc>
          <w:tcPr>
            <w:tcW w:w="4820" w:type="dxa"/>
          </w:tcPr>
          <w:p w:rsidR="00AF6848" w:rsidRPr="00D13205" w:rsidRDefault="00AF6848" w:rsidP="003C00C0">
            <w:pPr>
              <w:rPr>
                <w:rFonts w:ascii="Arial" w:hAnsi="Arial" w:cs="Arial"/>
                <w:b/>
                <w:sz w:val="24"/>
                <w:szCs w:val="24"/>
              </w:rPr>
            </w:pPr>
            <w:r w:rsidRPr="00D13205">
              <w:rPr>
                <w:rFonts w:ascii="Arial" w:hAnsi="Arial" w:cs="Arial"/>
                <w:b/>
                <w:sz w:val="24"/>
                <w:szCs w:val="24"/>
              </w:rPr>
              <w:t>Description</w:t>
            </w:r>
          </w:p>
        </w:tc>
        <w:tc>
          <w:tcPr>
            <w:tcW w:w="1449" w:type="dxa"/>
          </w:tcPr>
          <w:p w:rsidR="00AF6848" w:rsidRPr="00D13205" w:rsidRDefault="00AF6848" w:rsidP="003C00C0">
            <w:pPr>
              <w:rPr>
                <w:rFonts w:ascii="Arial" w:hAnsi="Arial" w:cs="Arial"/>
                <w:b/>
                <w:sz w:val="24"/>
                <w:szCs w:val="24"/>
              </w:rPr>
            </w:pPr>
            <w:r w:rsidRPr="00D13205">
              <w:rPr>
                <w:rFonts w:ascii="Arial" w:hAnsi="Arial" w:cs="Arial"/>
                <w:b/>
                <w:sz w:val="24"/>
                <w:szCs w:val="24"/>
              </w:rPr>
              <w:t>Start date</w:t>
            </w:r>
          </w:p>
        </w:tc>
        <w:tc>
          <w:tcPr>
            <w:tcW w:w="1386" w:type="dxa"/>
          </w:tcPr>
          <w:p w:rsidR="00AF6848" w:rsidRPr="00D13205" w:rsidRDefault="00AF6848" w:rsidP="003C00C0">
            <w:pPr>
              <w:rPr>
                <w:rFonts w:ascii="Arial" w:hAnsi="Arial" w:cs="Arial"/>
                <w:b/>
                <w:sz w:val="24"/>
                <w:szCs w:val="24"/>
              </w:rPr>
            </w:pPr>
            <w:r w:rsidRPr="00D13205">
              <w:rPr>
                <w:rFonts w:ascii="Arial" w:hAnsi="Arial" w:cs="Arial"/>
                <w:b/>
                <w:sz w:val="24"/>
                <w:szCs w:val="24"/>
              </w:rPr>
              <w:t>End date</w:t>
            </w:r>
          </w:p>
        </w:tc>
        <w:tc>
          <w:tcPr>
            <w:tcW w:w="1275" w:type="dxa"/>
          </w:tcPr>
          <w:p w:rsidR="00AF6848" w:rsidRPr="00D13205" w:rsidRDefault="00AF6848" w:rsidP="003C00C0">
            <w:pPr>
              <w:rPr>
                <w:rFonts w:ascii="Arial" w:hAnsi="Arial" w:cs="Arial"/>
                <w:b/>
                <w:sz w:val="24"/>
                <w:szCs w:val="24"/>
              </w:rPr>
            </w:pPr>
            <w:r w:rsidRPr="00D13205">
              <w:rPr>
                <w:rFonts w:ascii="Arial" w:hAnsi="Arial" w:cs="Arial"/>
                <w:b/>
                <w:sz w:val="24"/>
                <w:szCs w:val="24"/>
              </w:rPr>
              <w:t>Owner</w:t>
            </w:r>
          </w:p>
        </w:tc>
        <w:tc>
          <w:tcPr>
            <w:tcW w:w="4427" w:type="dxa"/>
          </w:tcPr>
          <w:p w:rsidR="00AF6848" w:rsidRPr="00D13205" w:rsidRDefault="00AF6848" w:rsidP="003C00C0">
            <w:pPr>
              <w:rPr>
                <w:rFonts w:ascii="Arial" w:hAnsi="Arial" w:cs="Arial"/>
                <w:b/>
                <w:sz w:val="24"/>
                <w:szCs w:val="24"/>
              </w:rPr>
            </w:pPr>
            <w:r w:rsidRPr="00D13205">
              <w:rPr>
                <w:rFonts w:ascii="Arial" w:hAnsi="Arial" w:cs="Arial"/>
                <w:b/>
                <w:sz w:val="24"/>
                <w:szCs w:val="24"/>
              </w:rPr>
              <w:t>Commentary</w:t>
            </w:r>
          </w:p>
        </w:tc>
      </w:tr>
      <w:tr w:rsidR="00AF6848" w:rsidRPr="00D13205" w:rsidTr="003C00C0">
        <w:tc>
          <w:tcPr>
            <w:tcW w:w="817" w:type="dxa"/>
          </w:tcPr>
          <w:p w:rsidR="00AF6848" w:rsidRPr="00D13205" w:rsidRDefault="00AF6848" w:rsidP="003C00C0">
            <w:pPr>
              <w:rPr>
                <w:rFonts w:ascii="Arial" w:hAnsi="Arial" w:cs="Arial"/>
                <w:sz w:val="24"/>
                <w:szCs w:val="24"/>
              </w:rPr>
            </w:pPr>
            <w:r w:rsidRPr="00D13205">
              <w:rPr>
                <w:rFonts w:ascii="Arial" w:hAnsi="Arial" w:cs="Arial"/>
                <w:sz w:val="24"/>
                <w:szCs w:val="24"/>
              </w:rPr>
              <w:t>A.</w:t>
            </w:r>
          </w:p>
        </w:tc>
        <w:tc>
          <w:tcPr>
            <w:tcW w:w="4820" w:type="dxa"/>
          </w:tcPr>
          <w:p w:rsidR="00AF6848" w:rsidRPr="00D13205" w:rsidRDefault="00AF6848" w:rsidP="003C00C0">
            <w:pPr>
              <w:rPr>
                <w:rFonts w:ascii="Arial" w:hAnsi="Arial" w:cs="Arial"/>
                <w:b/>
                <w:sz w:val="24"/>
                <w:szCs w:val="24"/>
              </w:rPr>
            </w:pPr>
            <w:r w:rsidRPr="00D13205">
              <w:rPr>
                <w:rFonts w:ascii="Arial" w:hAnsi="Arial" w:cs="Arial"/>
                <w:b/>
                <w:sz w:val="24"/>
                <w:szCs w:val="24"/>
              </w:rPr>
              <w:t>Recruitment</w:t>
            </w:r>
            <w:r>
              <w:rPr>
                <w:rFonts w:ascii="Arial" w:hAnsi="Arial" w:cs="Arial"/>
                <w:b/>
                <w:sz w:val="24"/>
                <w:szCs w:val="24"/>
              </w:rPr>
              <w:t xml:space="preserve"> and shortlisting</w:t>
            </w:r>
          </w:p>
          <w:p w:rsidR="00AF6848" w:rsidRPr="00D13205" w:rsidRDefault="00AF6848" w:rsidP="003C00C0">
            <w:pPr>
              <w:rPr>
                <w:rFonts w:ascii="Arial" w:hAnsi="Arial" w:cs="Arial"/>
                <w:b/>
                <w:sz w:val="24"/>
                <w:szCs w:val="24"/>
              </w:rPr>
            </w:pPr>
          </w:p>
          <w:p w:rsidR="00AF6848" w:rsidRPr="00D13205" w:rsidRDefault="00AF6848" w:rsidP="003C00C0">
            <w:pPr>
              <w:rPr>
                <w:rFonts w:ascii="Arial" w:hAnsi="Arial" w:cs="Arial"/>
                <w:b/>
                <w:sz w:val="24"/>
                <w:szCs w:val="24"/>
              </w:rPr>
            </w:pPr>
          </w:p>
        </w:tc>
        <w:tc>
          <w:tcPr>
            <w:tcW w:w="1449" w:type="dxa"/>
          </w:tcPr>
          <w:p w:rsidR="00AF6848" w:rsidRPr="00D13205" w:rsidRDefault="00AF6848" w:rsidP="003C00C0">
            <w:pPr>
              <w:rPr>
                <w:rFonts w:ascii="Arial" w:hAnsi="Arial" w:cs="Arial"/>
                <w:sz w:val="24"/>
                <w:szCs w:val="24"/>
              </w:rPr>
            </w:pPr>
            <w:r>
              <w:rPr>
                <w:rFonts w:ascii="Arial" w:hAnsi="Arial" w:cs="Arial"/>
                <w:sz w:val="24"/>
                <w:szCs w:val="24"/>
              </w:rPr>
              <w:t>July</w:t>
            </w:r>
            <w:r w:rsidRPr="00D13205">
              <w:rPr>
                <w:rFonts w:ascii="Arial" w:hAnsi="Arial" w:cs="Arial"/>
                <w:sz w:val="24"/>
                <w:szCs w:val="24"/>
              </w:rPr>
              <w:t xml:space="preserve"> 2017</w:t>
            </w:r>
          </w:p>
        </w:tc>
        <w:tc>
          <w:tcPr>
            <w:tcW w:w="1386" w:type="dxa"/>
          </w:tcPr>
          <w:p w:rsidR="00AF6848" w:rsidRPr="00D13205" w:rsidRDefault="00AF6848" w:rsidP="003C00C0">
            <w:pPr>
              <w:rPr>
                <w:rFonts w:ascii="Arial" w:hAnsi="Arial" w:cs="Arial"/>
                <w:sz w:val="24"/>
                <w:szCs w:val="24"/>
              </w:rPr>
            </w:pPr>
            <w:r w:rsidRPr="00D13205">
              <w:rPr>
                <w:rFonts w:ascii="Arial" w:hAnsi="Arial" w:cs="Arial"/>
                <w:sz w:val="24"/>
                <w:szCs w:val="24"/>
              </w:rPr>
              <w:t>Sept 2017</w:t>
            </w:r>
          </w:p>
        </w:tc>
        <w:tc>
          <w:tcPr>
            <w:tcW w:w="1275" w:type="dxa"/>
          </w:tcPr>
          <w:p w:rsidR="00AF6848" w:rsidRPr="00D13205" w:rsidRDefault="00AF6848" w:rsidP="003C00C0">
            <w:pPr>
              <w:rPr>
                <w:rFonts w:ascii="Arial" w:hAnsi="Arial" w:cs="Arial"/>
                <w:sz w:val="24"/>
                <w:szCs w:val="24"/>
              </w:rPr>
            </w:pPr>
            <w:r w:rsidRPr="00D13205">
              <w:rPr>
                <w:rFonts w:ascii="Arial" w:hAnsi="Arial" w:cs="Arial"/>
                <w:sz w:val="24"/>
                <w:szCs w:val="24"/>
              </w:rPr>
              <w:t>JS/R</w:t>
            </w:r>
            <w:r>
              <w:rPr>
                <w:rFonts w:ascii="Arial" w:hAnsi="Arial" w:cs="Arial"/>
                <w:sz w:val="24"/>
                <w:szCs w:val="24"/>
              </w:rPr>
              <w:t>ecruitment Team</w:t>
            </w:r>
          </w:p>
        </w:tc>
        <w:tc>
          <w:tcPr>
            <w:tcW w:w="4427" w:type="dxa"/>
          </w:tcPr>
          <w:p w:rsidR="00AF6848" w:rsidRPr="00D13205" w:rsidRDefault="00AF6848" w:rsidP="003C00C0">
            <w:pPr>
              <w:rPr>
                <w:rFonts w:ascii="Arial" w:hAnsi="Arial" w:cs="Arial"/>
                <w:sz w:val="24"/>
                <w:szCs w:val="24"/>
              </w:rPr>
            </w:pPr>
            <w:r w:rsidRPr="00D13205">
              <w:rPr>
                <w:rFonts w:ascii="Arial" w:hAnsi="Arial" w:cs="Arial"/>
                <w:sz w:val="24"/>
                <w:szCs w:val="24"/>
              </w:rPr>
              <w:t>Review processes</w:t>
            </w:r>
            <w:r>
              <w:rPr>
                <w:rFonts w:ascii="Arial" w:hAnsi="Arial" w:cs="Arial"/>
                <w:sz w:val="24"/>
                <w:szCs w:val="24"/>
              </w:rPr>
              <w:t>.  Develop reporting regime</w:t>
            </w:r>
          </w:p>
        </w:tc>
      </w:tr>
      <w:tr w:rsidR="00AF6848" w:rsidRPr="00D13205" w:rsidTr="003C00C0">
        <w:tc>
          <w:tcPr>
            <w:tcW w:w="817" w:type="dxa"/>
          </w:tcPr>
          <w:p w:rsidR="00AF6848" w:rsidRPr="00D13205" w:rsidRDefault="00AF6848" w:rsidP="003C00C0">
            <w:pPr>
              <w:rPr>
                <w:rFonts w:ascii="Arial" w:hAnsi="Arial" w:cs="Arial"/>
                <w:sz w:val="24"/>
                <w:szCs w:val="24"/>
              </w:rPr>
            </w:pPr>
            <w:r w:rsidRPr="00D13205">
              <w:rPr>
                <w:rFonts w:ascii="Arial" w:hAnsi="Arial" w:cs="Arial"/>
                <w:sz w:val="24"/>
                <w:szCs w:val="24"/>
              </w:rPr>
              <w:t>B.</w:t>
            </w:r>
          </w:p>
        </w:tc>
        <w:tc>
          <w:tcPr>
            <w:tcW w:w="4820" w:type="dxa"/>
          </w:tcPr>
          <w:p w:rsidR="00AF6848" w:rsidRPr="00D13205" w:rsidRDefault="00AF6848" w:rsidP="003C00C0">
            <w:pPr>
              <w:rPr>
                <w:rFonts w:ascii="Arial" w:hAnsi="Arial" w:cs="Arial"/>
                <w:b/>
                <w:sz w:val="24"/>
                <w:szCs w:val="24"/>
              </w:rPr>
            </w:pPr>
            <w:r w:rsidRPr="00D13205">
              <w:rPr>
                <w:rFonts w:ascii="Arial" w:hAnsi="Arial" w:cs="Arial"/>
                <w:b/>
                <w:sz w:val="24"/>
                <w:szCs w:val="24"/>
              </w:rPr>
              <w:t>Data quality on ESR</w:t>
            </w:r>
          </w:p>
          <w:p w:rsidR="00AF6848" w:rsidRPr="00D13205" w:rsidRDefault="00AF6848" w:rsidP="003C00C0">
            <w:pPr>
              <w:rPr>
                <w:rFonts w:ascii="Arial" w:hAnsi="Arial" w:cs="Arial"/>
                <w:b/>
                <w:sz w:val="24"/>
                <w:szCs w:val="24"/>
              </w:rPr>
            </w:pPr>
          </w:p>
          <w:p w:rsidR="00AF6848" w:rsidRPr="00D13205" w:rsidRDefault="00AF6848" w:rsidP="003C00C0">
            <w:pPr>
              <w:rPr>
                <w:rFonts w:ascii="Arial" w:hAnsi="Arial" w:cs="Arial"/>
                <w:b/>
                <w:sz w:val="24"/>
                <w:szCs w:val="24"/>
              </w:rPr>
            </w:pPr>
          </w:p>
        </w:tc>
        <w:tc>
          <w:tcPr>
            <w:tcW w:w="1449" w:type="dxa"/>
          </w:tcPr>
          <w:p w:rsidR="00AF6848" w:rsidRPr="00D13205" w:rsidRDefault="00AF6848" w:rsidP="003C00C0">
            <w:pPr>
              <w:rPr>
                <w:rFonts w:ascii="Arial" w:hAnsi="Arial" w:cs="Arial"/>
                <w:sz w:val="24"/>
                <w:szCs w:val="24"/>
              </w:rPr>
            </w:pPr>
            <w:r>
              <w:rPr>
                <w:rFonts w:ascii="Arial" w:hAnsi="Arial" w:cs="Arial"/>
                <w:sz w:val="24"/>
                <w:szCs w:val="24"/>
              </w:rPr>
              <w:t>July</w:t>
            </w:r>
            <w:r w:rsidRPr="00D13205">
              <w:rPr>
                <w:rFonts w:ascii="Arial" w:hAnsi="Arial" w:cs="Arial"/>
                <w:sz w:val="24"/>
                <w:szCs w:val="24"/>
              </w:rPr>
              <w:t xml:space="preserve"> 2017</w:t>
            </w:r>
          </w:p>
        </w:tc>
        <w:tc>
          <w:tcPr>
            <w:tcW w:w="1386" w:type="dxa"/>
          </w:tcPr>
          <w:p w:rsidR="00AF6848" w:rsidRPr="00D13205" w:rsidRDefault="00AF6848" w:rsidP="003C00C0">
            <w:pPr>
              <w:rPr>
                <w:rFonts w:ascii="Arial" w:hAnsi="Arial" w:cs="Arial"/>
                <w:sz w:val="24"/>
                <w:szCs w:val="24"/>
              </w:rPr>
            </w:pPr>
            <w:r w:rsidRPr="00D13205">
              <w:rPr>
                <w:rFonts w:ascii="Arial" w:hAnsi="Arial" w:cs="Arial"/>
                <w:sz w:val="24"/>
                <w:szCs w:val="24"/>
              </w:rPr>
              <w:t>Dec 2017</w:t>
            </w:r>
          </w:p>
        </w:tc>
        <w:tc>
          <w:tcPr>
            <w:tcW w:w="1275" w:type="dxa"/>
          </w:tcPr>
          <w:p w:rsidR="00AF6848" w:rsidRPr="00D13205" w:rsidRDefault="00AF6848" w:rsidP="003C00C0">
            <w:pPr>
              <w:rPr>
                <w:rFonts w:ascii="Arial" w:hAnsi="Arial" w:cs="Arial"/>
                <w:sz w:val="24"/>
                <w:szCs w:val="24"/>
              </w:rPr>
            </w:pPr>
            <w:r w:rsidRPr="00D13205">
              <w:rPr>
                <w:rFonts w:ascii="Arial" w:hAnsi="Arial" w:cs="Arial"/>
                <w:sz w:val="24"/>
                <w:szCs w:val="24"/>
              </w:rPr>
              <w:t>MB/MI Team</w:t>
            </w:r>
          </w:p>
        </w:tc>
        <w:tc>
          <w:tcPr>
            <w:tcW w:w="4427" w:type="dxa"/>
          </w:tcPr>
          <w:p w:rsidR="00AF6848" w:rsidRPr="00D13205" w:rsidRDefault="00AF6848" w:rsidP="003C00C0">
            <w:pPr>
              <w:rPr>
                <w:rFonts w:ascii="Arial" w:hAnsi="Arial" w:cs="Arial"/>
                <w:sz w:val="24"/>
                <w:szCs w:val="24"/>
              </w:rPr>
            </w:pPr>
            <w:r w:rsidRPr="00D13205">
              <w:rPr>
                <w:rFonts w:ascii="Arial" w:hAnsi="Arial" w:cs="Arial"/>
                <w:sz w:val="24"/>
                <w:szCs w:val="24"/>
              </w:rPr>
              <w:t>Data cleanse or survey, or use of ESS/MSS</w:t>
            </w:r>
          </w:p>
        </w:tc>
      </w:tr>
      <w:tr w:rsidR="00AF6848" w:rsidRPr="00D13205" w:rsidTr="003C00C0">
        <w:tc>
          <w:tcPr>
            <w:tcW w:w="817" w:type="dxa"/>
          </w:tcPr>
          <w:p w:rsidR="00AF6848" w:rsidRPr="00D13205" w:rsidRDefault="00AF6848" w:rsidP="003C00C0">
            <w:pPr>
              <w:rPr>
                <w:rFonts w:ascii="Arial" w:hAnsi="Arial" w:cs="Arial"/>
                <w:sz w:val="24"/>
                <w:szCs w:val="24"/>
              </w:rPr>
            </w:pPr>
            <w:r w:rsidRPr="00D13205">
              <w:rPr>
                <w:rFonts w:ascii="Arial" w:hAnsi="Arial" w:cs="Arial"/>
                <w:sz w:val="24"/>
                <w:szCs w:val="24"/>
              </w:rPr>
              <w:t>C.</w:t>
            </w:r>
          </w:p>
        </w:tc>
        <w:tc>
          <w:tcPr>
            <w:tcW w:w="4820" w:type="dxa"/>
          </w:tcPr>
          <w:p w:rsidR="00AF6848" w:rsidRPr="00D13205" w:rsidRDefault="00AF6848" w:rsidP="003C00C0">
            <w:pPr>
              <w:rPr>
                <w:rFonts w:ascii="Arial" w:hAnsi="Arial" w:cs="Arial"/>
                <w:b/>
                <w:sz w:val="24"/>
                <w:szCs w:val="24"/>
              </w:rPr>
            </w:pPr>
            <w:r w:rsidRPr="00D13205">
              <w:rPr>
                <w:rFonts w:ascii="Arial" w:hAnsi="Arial" w:cs="Arial"/>
                <w:b/>
                <w:sz w:val="24"/>
                <w:szCs w:val="24"/>
              </w:rPr>
              <w:t>Outreach and External Engagement</w:t>
            </w:r>
          </w:p>
        </w:tc>
        <w:tc>
          <w:tcPr>
            <w:tcW w:w="1449" w:type="dxa"/>
          </w:tcPr>
          <w:p w:rsidR="00AF6848" w:rsidRPr="00D13205" w:rsidRDefault="00AF6848" w:rsidP="003C00C0">
            <w:pPr>
              <w:rPr>
                <w:rFonts w:ascii="Arial" w:hAnsi="Arial" w:cs="Arial"/>
                <w:sz w:val="24"/>
                <w:szCs w:val="24"/>
              </w:rPr>
            </w:pPr>
            <w:r w:rsidRPr="00D13205">
              <w:rPr>
                <w:rFonts w:ascii="Arial" w:hAnsi="Arial" w:cs="Arial"/>
                <w:sz w:val="24"/>
                <w:szCs w:val="24"/>
              </w:rPr>
              <w:t>July 2017</w:t>
            </w:r>
          </w:p>
        </w:tc>
        <w:tc>
          <w:tcPr>
            <w:tcW w:w="1386" w:type="dxa"/>
          </w:tcPr>
          <w:p w:rsidR="00AF6848" w:rsidRPr="00D13205" w:rsidRDefault="00AF6848" w:rsidP="003C00C0">
            <w:pPr>
              <w:rPr>
                <w:rFonts w:ascii="Arial" w:hAnsi="Arial" w:cs="Arial"/>
                <w:sz w:val="24"/>
                <w:szCs w:val="24"/>
              </w:rPr>
            </w:pPr>
            <w:r w:rsidRPr="00D13205">
              <w:rPr>
                <w:rFonts w:ascii="Arial" w:hAnsi="Arial" w:cs="Arial"/>
                <w:sz w:val="24"/>
                <w:szCs w:val="24"/>
              </w:rPr>
              <w:t>tbc</w:t>
            </w:r>
          </w:p>
        </w:tc>
        <w:tc>
          <w:tcPr>
            <w:tcW w:w="1275" w:type="dxa"/>
          </w:tcPr>
          <w:p w:rsidR="00AF6848" w:rsidRPr="00D13205" w:rsidRDefault="00AF6848" w:rsidP="003C00C0">
            <w:pPr>
              <w:rPr>
                <w:rFonts w:ascii="Arial" w:hAnsi="Arial" w:cs="Arial"/>
                <w:sz w:val="24"/>
                <w:szCs w:val="24"/>
              </w:rPr>
            </w:pPr>
            <w:r>
              <w:rPr>
                <w:rFonts w:ascii="Arial" w:hAnsi="Arial" w:cs="Arial"/>
                <w:sz w:val="24"/>
                <w:szCs w:val="24"/>
              </w:rPr>
              <w:t>JS/Recruitment Team</w:t>
            </w:r>
          </w:p>
        </w:tc>
        <w:tc>
          <w:tcPr>
            <w:tcW w:w="4427" w:type="dxa"/>
          </w:tcPr>
          <w:p w:rsidR="00AF6848" w:rsidRPr="00D13205" w:rsidRDefault="00AF6848" w:rsidP="003C00C0">
            <w:pPr>
              <w:rPr>
                <w:rFonts w:ascii="Arial" w:hAnsi="Arial" w:cs="Arial"/>
                <w:sz w:val="24"/>
                <w:szCs w:val="24"/>
              </w:rPr>
            </w:pPr>
            <w:r>
              <w:rPr>
                <w:rFonts w:ascii="Arial" w:hAnsi="Arial" w:cs="Arial"/>
                <w:sz w:val="24"/>
                <w:szCs w:val="24"/>
              </w:rPr>
              <w:t xml:space="preserve">Research local groups. </w:t>
            </w:r>
            <w:r w:rsidRPr="00D13205">
              <w:rPr>
                <w:rFonts w:ascii="Arial" w:hAnsi="Arial" w:cs="Arial"/>
                <w:sz w:val="24"/>
                <w:szCs w:val="24"/>
              </w:rPr>
              <w:t xml:space="preserve">  </w:t>
            </w:r>
            <w:r>
              <w:rPr>
                <w:rFonts w:ascii="Arial" w:hAnsi="Arial" w:cs="Arial"/>
                <w:sz w:val="24"/>
                <w:szCs w:val="24"/>
              </w:rPr>
              <w:t>Align to cohort exercises</w:t>
            </w:r>
          </w:p>
        </w:tc>
      </w:tr>
      <w:tr w:rsidR="00AF6848" w:rsidRPr="00D13205" w:rsidTr="003C00C0">
        <w:tc>
          <w:tcPr>
            <w:tcW w:w="817" w:type="dxa"/>
          </w:tcPr>
          <w:p w:rsidR="00AF6848" w:rsidRPr="00D13205" w:rsidRDefault="00AF6848" w:rsidP="003C00C0">
            <w:pPr>
              <w:rPr>
                <w:rFonts w:ascii="Arial" w:hAnsi="Arial" w:cs="Arial"/>
                <w:sz w:val="24"/>
                <w:szCs w:val="24"/>
              </w:rPr>
            </w:pPr>
            <w:r w:rsidRPr="00D13205">
              <w:rPr>
                <w:rFonts w:ascii="Arial" w:hAnsi="Arial" w:cs="Arial"/>
                <w:sz w:val="24"/>
                <w:szCs w:val="24"/>
              </w:rPr>
              <w:t>D.</w:t>
            </w:r>
          </w:p>
        </w:tc>
        <w:tc>
          <w:tcPr>
            <w:tcW w:w="4820" w:type="dxa"/>
          </w:tcPr>
          <w:p w:rsidR="00AF6848" w:rsidRPr="00D13205" w:rsidRDefault="00AF6848" w:rsidP="003C00C0">
            <w:pPr>
              <w:rPr>
                <w:rFonts w:ascii="Arial" w:hAnsi="Arial" w:cs="Arial"/>
                <w:b/>
                <w:sz w:val="24"/>
                <w:szCs w:val="24"/>
              </w:rPr>
            </w:pPr>
            <w:r>
              <w:rPr>
                <w:rFonts w:ascii="Arial" w:hAnsi="Arial" w:cs="Arial"/>
                <w:b/>
                <w:sz w:val="24"/>
                <w:szCs w:val="24"/>
              </w:rPr>
              <w:t>WRES 2017</w:t>
            </w:r>
          </w:p>
          <w:p w:rsidR="00AF6848" w:rsidRPr="00D13205" w:rsidRDefault="00AF6848" w:rsidP="003C00C0">
            <w:pPr>
              <w:rPr>
                <w:rFonts w:ascii="Arial" w:hAnsi="Arial" w:cs="Arial"/>
                <w:b/>
                <w:sz w:val="24"/>
                <w:szCs w:val="24"/>
              </w:rPr>
            </w:pPr>
          </w:p>
          <w:p w:rsidR="00AF6848" w:rsidRPr="00D13205" w:rsidRDefault="00AF6848" w:rsidP="003C00C0">
            <w:pPr>
              <w:rPr>
                <w:rFonts w:ascii="Arial" w:hAnsi="Arial" w:cs="Arial"/>
                <w:b/>
                <w:sz w:val="24"/>
                <w:szCs w:val="24"/>
              </w:rPr>
            </w:pPr>
          </w:p>
        </w:tc>
        <w:tc>
          <w:tcPr>
            <w:tcW w:w="1449" w:type="dxa"/>
          </w:tcPr>
          <w:p w:rsidR="00AF6848" w:rsidRPr="00D13205" w:rsidRDefault="00AF6848" w:rsidP="003C00C0">
            <w:pPr>
              <w:rPr>
                <w:rFonts w:ascii="Arial" w:hAnsi="Arial" w:cs="Arial"/>
                <w:sz w:val="24"/>
                <w:szCs w:val="24"/>
              </w:rPr>
            </w:pPr>
            <w:r w:rsidRPr="00D13205">
              <w:rPr>
                <w:rFonts w:ascii="Arial" w:hAnsi="Arial" w:cs="Arial"/>
                <w:sz w:val="24"/>
                <w:szCs w:val="24"/>
              </w:rPr>
              <w:t>July 2017</w:t>
            </w:r>
          </w:p>
        </w:tc>
        <w:tc>
          <w:tcPr>
            <w:tcW w:w="1386" w:type="dxa"/>
          </w:tcPr>
          <w:p w:rsidR="00AF6848" w:rsidRPr="00D13205" w:rsidRDefault="00AF6848" w:rsidP="003C00C0">
            <w:pPr>
              <w:rPr>
                <w:rFonts w:ascii="Arial" w:hAnsi="Arial" w:cs="Arial"/>
                <w:sz w:val="24"/>
                <w:szCs w:val="24"/>
              </w:rPr>
            </w:pPr>
            <w:r>
              <w:rPr>
                <w:rFonts w:ascii="Arial" w:hAnsi="Arial" w:cs="Arial"/>
                <w:sz w:val="24"/>
                <w:szCs w:val="24"/>
              </w:rPr>
              <w:t>Aug 2017</w:t>
            </w:r>
          </w:p>
        </w:tc>
        <w:tc>
          <w:tcPr>
            <w:tcW w:w="1275" w:type="dxa"/>
          </w:tcPr>
          <w:p w:rsidR="00AF6848" w:rsidRPr="00D13205" w:rsidRDefault="00AF6848" w:rsidP="003C00C0">
            <w:pPr>
              <w:rPr>
                <w:rFonts w:ascii="Arial" w:hAnsi="Arial" w:cs="Arial"/>
                <w:sz w:val="24"/>
                <w:szCs w:val="24"/>
              </w:rPr>
            </w:pPr>
            <w:r>
              <w:rPr>
                <w:rFonts w:ascii="Arial" w:hAnsi="Arial" w:cs="Arial"/>
                <w:sz w:val="24"/>
                <w:szCs w:val="24"/>
              </w:rPr>
              <w:t>JS/KB</w:t>
            </w:r>
          </w:p>
        </w:tc>
        <w:tc>
          <w:tcPr>
            <w:tcW w:w="4427" w:type="dxa"/>
          </w:tcPr>
          <w:p w:rsidR="00AF6848" w:rsidRPr="00D13205" w:rsidRDefault="00AF6848" w:rsidP="003C00C0">
            <w:pPr>
              <w:rPr>
                <w:rFonts w:ascii="Arial" w:hAnsi="Arial" w:cs="Arial"/>
                <w:sz w:val="24"/>
                <w:szCs w:val="24"/>
              </w:rPr>
            </w:pPr>
            <w:r>
              <w:rPr>
                <w:rFonts w:ascii="Arial" w:hAnsi="Arial" w:cs="Arial"/>
                <w:sz w:val="24"/>
                <w:szCs w:val="24"/>
              </w:rPr>
              <w:t>Data collected; report to be published by 1 August</w:t>
            </w:r>
          </w:p>
        </w:tc>
      </w:tr>
      <w:tr w:rsidR="00AF6848" w:rsidRPr="00D13205" w:rsidTr="003C00C0">
        <w:tc>
          <w:tcPr>
            <w:tcW w:w="817" w:type="dxa"/>
          </w:tcPr>
          <w:p w:rsidR="00AF6848" w:rsidRPr="00D13205" w:rsidRDefault="00AF6848" w:rsidP="003C00C0">
            <w:pPr>
              <w:rPr>
                <w:rFonts w:ascii="Arial" w:hAnsi="Arial" w:cs="Arial"/>
                <w:sz w:val="24"/>
                <w:szCs w:val="24"/>
              </w:rPr>
            </w:pPr>
            <w:r w:rsidRPr="00D13205">
              <w:rPr>
                <w:rFonts w:ascii="Arial" w:hAnsi="Arial" w:cs="Arial"/>
                <w:sz w:val="24"/>
                <w:szCs w:val="24"/>
              </w:rPr>
              <w:t>E.</w:t>
            </w:r>
          </w:p>
        </w:tc>
        <w:tc>
          <w:tcPr>
            <w:tcW w:w="4820" w:type="dxa"/>
          </w:tcPr>
          <w:p w:rsidR="00AF6848" w:rsidRPr="00D13205" w:rsidRDefault="00AF6848" w:rsidP="003C00C0">
            <w:pPr>
              <w:rPr>
                <w:rFonts w:ascii="Arial" w:hAnsi="Arial" w:cs="Arial"/>
                <w:b/>
                <w:sz w:val="24"/>
                <w:szCs w:val="24"/>
              </w:rPr>
            </w:pPr>
            <w:r>
              <w:rPr>
                <w:rFonts w:ascii="Arial" w:hAnsi="Arial" w:cs="Arial"/>
                <w:b/>
                <w:sz w:val="24"/>
                <w:szCs w:val="24"/>
              </w:rPr>
              <w:t>Further analysis</w:t>
            </w:r>
          </w:p>
          <w:p w:rsidR="00AF6848" w:rsidRPr="00D13205" w:rsidRDefault="00AF6848" w:rsidP="003C00C0">
            <w:pPr>
              <w:rPr>
                <w:rFonts w:ascii="Arial" w:hAnsi="Arial" w:cs="Arial"/>
                <w:b/>
                <w:sz w:val="24"/>
                <w:szCs w:val="24"/>
              </w:rPr>
            </w:pPr>
          </w:p>
          <w:p w:rsidR="00AF6848" w:rsidRPr="00D13205" w:rsidRDefault="00AF6848" w:rsidP="003C00C0">
            <w:pPr>
              <w:rPr>
                <w:rFonts w:ascii="Arial" w:hAnsi="Arial" w:cs="Arial"/>
                <w:b/>
                <w:sz w:val="24"/>
                <w:szCs w:val="24"/>
              </w:rPr>
            </w:pPr>
          </w:p>
        </w:tc>
        <w:tc>
          <w:tcPr>
            <w:tcW w:w="1449" w:type="dxa"/>
          </w:tcPr>
          <w:p w:rsidR="00AF6848" w:rsidRPr="00D13205" w:rsidRDefault="00AF6848" w:rsidP="003C00C0">
            <w:pPr>
              <w:rPr>
                <w:rFonts w:ascii="Arial" w:hAnsi="Arial" w:cs="Arial"/>
                <w:sz w:val="24"/>
                <w:szCs w:val="24"/>
              </w:rPr>
            </w:pPr>
            <w:r w:rsidRPr="00D13205">
              <w:rPr>
                <w:rFonts w:ascii="Arial" w:hAnsi="Arial" w:cs="Arial"/>
                <w:sz w:val="24"/>
                <w:szCs w:val="24"/>
              </w:rPr>
              <w:t>July 2017</w:t>
            </w:r>
          </w:p>
        </w:tc>
        <w:tc>
          <w:tcPr>
            <w:tcW w:w="1386" w:type="dxa"/>
          </w:tcPr>
          <w:p w:rsidR="00AF6848" w:rsidRPr="00D13205" w:rsidRDefault="00AF6848" w:rsidP="003C00C0">
            <w:pPr>
              <w:rPr>
                <w:rFonts w:ascii="Arial" w:hAnsi="Arial" w:cs="Arial"/>
                <w:sz w:val="24"/>
                <w:szCs w:val="24"/>
              </w:rPr>
            </w:pPr>
            <w:r w:rsidRPr="00D13205">
              <w:rPr>
                <w:rFonts w:ascii="Arial" w:hAnsi="Arial" w:cs="Arial"/>
                <w:sz w:val="24"/>
                <w:szCs w:val="24"/>
              </w:rPr>
              <w:t>Dec 2017</w:t>
            </w:r>
          </w:p>
        </w:tc>
        <w:tc>
          <w:tcPr>
            <w:tcW w:w="1275" w:type="dxa"/>
          </w:tcPr>
          <w:p w:rsidR="00AF6848" w:rsidRDefault="00AF6848" w:rsidP="003C00C0">
            <w:pPr>
              <w:rPr>
                <w:rFonts w:ascii="Arial" w:hAnsi="Arial" w:cs="Arial"/>
                <w:sz w:val="24"/>
                <w:szCs w:val="24"/>
              </w:rPr>
            </w:pPr>
            <w:r w:rsidRPr="00D13205">
              <w:rPr>
                <w:rFonts w:ascii="Arial" w:hAnsi="Arial" w:cs="Arial"/>
                <w:sz w:val="24"/>
                <w:szCs w:val="24"/>
              </w:rPr>
              <w:t>JS</w:t>
            </w:r>
            <w:r>
              <w:rPr>
                <w:rFonts w:ascii="Arial" w:hAnsi="Arial" w:cs="Arial"/>
                <w:sz w:val="24"/>
                <w:szCs w:val="24"/>
              </w:rPr>
              <w:t>/KB/</w:t>
            </w:r>
          </w:p>
          <w:p w:rsidR="00AF6848" w:rsidRPr="00D13205" w:rsidRDefault="00AF6848" w:rsidP="003C00C0">
            <w:pPr>
              <w:rPr>
                <w:rFonts w:ascii="Arial" w:hAnsi="Arial" w:cs="Arial"/>
                <w:sz w:val="24"/>
                <w:szCs w:val="24"/>
              </w:rPr>
            </w:pPr>
            <w:r>
              <w:rPr>
                <w:rFonts w:ascii="Arial" w:hAnsi="Arial" w:cs="Arial"/>
                <w:sz w:val="24"/>
                <w:szCs w:val="24"/>
              </w:rPr>
              <w:t>Heads of Nursing</w:t>
            </w:r>
          </w:p>
        </w:tc>
        <w:tc>
          <w:tcPr>
            <w:tcW w:w="4427" w:type="dxa"/>
          </w:tcPr>
          <w:p w:rsidR="00AF6848" w:rsidRPr="00D13205" w:rsidRDefault="00AF6848" w:rsidP="003C00C0">
            <w:pPr>
              <w:rPr>
                <w:rFonts w:ascii="Arial" w:hAnsi="Arial" w:cs="Arial"/>
                <w:sz w:val="24"/>
                <w:szCs w:val="24"/>
              </w:rPr>
            </w:pPr>
            <w:r>
              <w:rPr>
                <w:rFonts w:ascii="Arial" w:hAnsi="Arial" w:cs="Arial"/>
                <w:sz w:val="24"/>
                <w:szCs w:val="24"/>
              </w:rPr>
              <w:t>Benchmark with colleagues on Y&amp;H Network.  Research feeder grades/success rates for senior nursing posts.</w:t>
            </w:r>
          </w:p>
        </w:tc>
      </w:tr>
    </w:tbl>
    <w:p w:rsidR="00AF6848" w:rsidRPr="00D13205" w:rsidRDefault="00AF6848" w:rsidP="00AF6848">
      <w:pPr>
        <w:rPr>
          <w:rFonts w:ascii="Arial" w:hAnsi="Arial" w:cs="Arial"/>
          <w:sz w:val="24"/>
          <w:szCs w:val="24"/>
        </w:rPr>
      </w:pPr>
      <w:r w:rsidRPr="00D13205">
        <w:rPr>
          <w:rFonts w:ascii="Arial" w:hAnsi="Arial" w:cs="Arial"/>
          <w:sz w:val="24"/>
          <w:szCs w:val="24"/>
        </w:rPr>
        <w:tab/>
      </w:r>
    </w:p>
    <w:p w:rsidR="004F7A34" w:rsidRDefault="00AF6848"/>
    <w:sectPr w:rsidR="004F7A34" w:rsidSect="00AF6848">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ED" w:rsidRDefault="00AF68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ED" w:rsidRDefault="00AF68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ED" w:rsidRDefault="00AF684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ED" w:rsidRDefault="00AF68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ED" w:rsidRDefault="00AF68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ED" w:rsidRDefault="00AF6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F38A5"/>
    <w:multiLevelType w:val="hybridMultilevel"/>
    <w:tmpl w:val="42FABE4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48"/>
    <w:rsid w:val="006C6ABF"/>
    <w:rsid w:val="00AF6848"/>
    <w:rsid w:val="00EC6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48"/>
    <w:pPr>
      <w:ind w:left="720"/>
      <w:contextualSpacing/>
    </w:pPr>
  </w:style>
  <w:style w:type="paragraph" w:styleId="Header">
    <w:name w:val="header"/>
    <w:basedOn w:val="Normal"/>
    <w:link w:val="HeaderChar"/>
    <w:uiPriority w:val="99"/>
    <w:unhideWhenUsed/>
    <w:rsid w:val="00AF6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848"/>
  </w:style>
  <w:style w:type="paragraph" w:styleId="Footer">
    <w:name w:val="footer"/>
    <w:basedOn w:val="Normal"/>
    <w:link w:val="FooterChar"/>
    <w:uiPriority w:val="99"/>
    <w:unhideWhenUsed/>
    <w:rsid w:val="00AF6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848"/>
  </w:style>
  <w:style w:type="table" w:styleId="TableGrid">
    <w:name w:val="Table Grid"/>
    <w:basedOn w:val="TableNormal"/>
    <w:uiPriority w:val="59"/>
    <w:rsid w:val="00AF6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48"/>
    <w:pPr>
      <w:ind w:left="720"/>
      <w:contextualSpacing/>
    </w:pPr>
  </w:style>
  <w:style w:type="paragraph" w:styleId="Header">
    <w:name w:val="header"/>
    <w:basedOn w:val="Normal"/>
    <w:link w:val="HeaderChar"/>
    <w:uiPriority w:val="99"/>
    <w:unhideWhenUsed/>
    <w:rsid w:val="00AF6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848"/>
  </w:style>
  <w:style w:type="paragraph" w:styleId="Footer">
    <w:name w:val="footer"/>
    <w:basedOn w:val="Normal"/>
    <w:link w:val="FooterChar"/>
    <w:uiPriority w:val="99"/>
    <w:unhideWhenUsed/>
    <w:rsid w:val="00AF6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848"/>
  </w:style>
  <w:style w:type="table" w:styleId="TableGrid">
    <w:name w:val="Table Grid"/>
    <w:basedOn w:val="TableNormal"/>
    <w:uiPriority w:val="59"/>
    <w:rsid w:val="00AF6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Doncaster &amp; Bassetlaw Hospitals NHS Foundation Trust</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John Scott</cp:lastModifiedBy>
  <cp:revision>1</cp:revision>
  <dcterms:created xsi:type="dcterms:W3CDTF">2017-08-02T08:27:00Z</dcterms:created>
  <dcterms:modified xsi:type="dcterms:W3CDTF">2017-08-02T08:30:00Z</dcterms:modified>
</cp:coreProperties>
</file>