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EE0B" w14:textId="4BFBCEF7" w:rsidR="007D6280" w:rsidRPr="007C3DAB" w:rsidRDefault="007D6280" w:rsidP="007D6280">
      <w:pPr>
        <w:pStyle w:val="Default"/>
        <w:rPr>
          <w:sz w:val="32"/>
          <w:szCs w:val="28"/>
        </w:rPr>
      </w:pPr>
      <w:r w:rsidRPr="007C3DAB">
        <w:rPr>
          <w:b/>
          <w:bCs/>
          <w:sz w:val="32"/>
          <w:szCs w:val="28"/>
        </w:rPr>
        <w:t xml:space="preserve">Gender pay gap report </w:t>
      </w:r>
      <w:r w:rsidR="00D555EC" w:rsidRPr="007C3DAB">
        <w:rPr>
          <w:b/>
          <w:bCs/>
          <w:sz w:val="32"/>
          <w:szCs w:val="28"/>
        </w:rPr>
        <w:t>31</w:t>
      </w:r>
      <w:r w:rsidR="00D555EC" w:rsidRPr="007C3DAB">
        <w:rPr>
          <w:b/>
          <w:bCs/>
          <w:sz w:val="32"/>
          <w:szCs w:val="28"/>
          <w:vertAlign w:val="superscript"/>
        </w:rPr>
        <w:t>st</w:t>
      </w:r>
      <w:r w:rsidR="00D555EC" w:rsidRPr="007C3DAB">
        <w:rPr>
          <w:b/>
          <w:bCs/>
          <w:sz w:val="32"/>
          <w:szCs w:val="28"/>
        </w:rPr>
        <w:t xml:space="preserve"> March </w:t>
      </w:r>
      <w:r w:rsidR="00741534">
        <w:rPr>
          <w:b/>
          <w:bCs/>
          <w:sz w:val="32"/>
          <w:szCs w:val="28"/>
        </w:rPr>
        <w:t>2021</w:t>
      </w:r>
      <w:r w:rsidR="007C3DAB" w:rsidRPr="007C3DAB">
        <w:rPr>
          <w:b/>
          <w:bCs/>
          <w:sz w:val="32"/>
          <w:szCs w:val="28"/>
        </w:rPr>
        <w:t xml:space="preserve"> – </w:t>
      </w:r>
      <w:r w:rsidR="00D555EC" w:rsidRPr="007C3DAB">
        <w:rPr>
          <w:b/>
          <w:bCs/>
          <w:sz w:val="32"/>
          <w:szCs w:val="28"/>
        </w:rPr>
        <w:t>Published March 20</w:t>
      </w:r>
      <w:r w:rsidR="006823EB">
        <w:rPr>
          <w:b/>
          <w:bCs/>
          <w:sz w:val="32"/>
          <w:szCs w:val="28"/>
        </w:rPr>
        <w:t>21</w:t>
      </w:r>
    </w:p>
    <w:p w14:paraId="4A2FDBE9" w14:textId="77777777" w:rsidR="00D555EC" w:rsidRDefault="00D555EC" w:rsidP="007D6280">
      <w:pPr>
        <w:pStyle w:val="Default"/>
        <w:rPr>
          <w:b/>
          <w:bCs/>
          <w:sz w:val="22"/>
          <w:szCs w:val="22"/>
        </w:rPr>
      </w:pPr>
    </w:p>
    <w:p w14:paraId="2914682A" w14:textId="77777777" w:rsidR="007D6280" w:rsidRPr="007C3DAB" w:rsidRDefault="007C3DAB" w:rsidP="007C3DAB">
      <w:pPr>
        <w:pStyle w:val="Default"/>
        <w:numPr>
          <w:ilvl w:val="0"/>
          <w:numId w:val="10"/>
        </w:numPr>
        <w:ind w:hanging="720"/>
        <w:rPr>
          <w:b/>
          <w:bCs/>
          <w:sz w:val="28"/>
          <w:szCs w:val="22"/>
        </w:rPr>
      </w:pPr>
      <w:r w:rsidRPr="007C3DAB">
        <w:rPr>
          <w:b/>
          <w:bCs/>
          <w:sz w:val="28"/>
          <w:szCs w:val="22"/>
        </w:rPr>
        <w:t>I</w:t>
      </w:r>
      <w:r w:rsidR="007D6280" w:rsidRPr="007C3DAB">
        <w:rPr>
          <w:b/>
          <w:bCs/>
          <w:sz w:val="28"/>
          <w:szCs w:val="22"/>
        </w:rPr>
        <w:t xml:space="preserve">ntroduction </w:t>
      </w:r>
    </w:p>
    <w:p w14:paraId="0EECEA07" w14:textId="48C23D33" w:rsidR="007D6280" w:rsidRDefault="007D6280" w:rsidP="004B595F">
      <w:pPr>
        <w:pStyle w:val="Default"/>
        <w:jc w:val="both"/>
        <w:rPr>
          <w:sz w:val="22"/>
          <w:szCs w:val="22"/>
        </w:rPr>
      </w:pPr>
      <w:r>
        <w:rPr>
          <w:sz w:val="22"/>
          <w:szCs w:val="22"/>
        </w:rPr>
        <w:t xml:space="preserve">Gender Pay Gap legislation requires all employers of 250 or more employees to publish their gender pay gap data annually. </w:t>
      </w:r>
      <w:r w:rsidR="007C3DAB">
        <w:rPr>
          <w:sz w:val="22"/>
          <w:szCs w:val="22"/>
        </w:rPr>
        <w:t xml:space="preserve"> </w:t>
      </w:r>
      <w:r>
        <w:rPr>
          <w:sz w:val="22"/>
          <w:szCs w:val="22"/>
        </w:rPr>
        <w:t>Doncaster and Bassetlaw Teaching Hospitals NHS Fo</w:t>
      </w:r>
      <w:r w:rsidR="00AB4C4B">
        <w:rPr>
          <w:sz w:val="22"/>
          <w:szCs w:val="22"/>
        </w:rPr>
        <w:t>undation</w:t>
      </w:r>
      <w:r w:rsidR="00502CAE">
        <w:rPr>
          <w:sz w:val="22"/>
          <w:szCs w:val="22"/>
        </w:rPr>
        <w:t xml:space="preserve"> Trust employs around </w:t>
      </w:r>
      <w:r w:rsidR="00565D01" w:rsidRPr="00565D01">
        <w:rPr>
          <w:color w:val="auto"/>
          <w:sz w:val="22"/>
          <w:szCs w:val="22"/>
        </w:rPr>
        <w:t>6784</w:t>
      </w:r>
      <w:r>
        <w:rPr>
          <w:sz w:val="22"/>
          <w:szCs w:val="22"/>
        </w:rPr>
        <w:t xml:space="preserve"> staff in a range of roles, including administrative, medical, nursing, allied </w:t>
      </w:r>
      <w:r w:rsidR="00DF3120">
        <w:rPr>
          <w:sz w:val="22"/>
          <w:szCs w:val="22"/>
        </w:rPr>
        <w:t>health,</w:t>
      </w:r>
      <w:r>
        <w:rPr>
          <w:sz w:val="22"/>
          <w:szCs w:val="22"/>
        </w:rPr>
        <w:t xml:space="preserve"> and managerial roles. </w:t>
      </w:r>
      <w:r w:rsidR="007C3DAB">
        <w:rPr>
          <w:sz w:val="22"/>
          <w:szCs w:val="22"/>
        </w:rPr>
        <w:t xml:space="preserve"> </w:t>
      </w:r>
      <w:r>
        <w:rPr>
          <w:sz w:val="22"/>
          <w:szCs w:val="22"/>
        </w:rPr>
        <w:t xml:space="preserve">The Trust uses the national job evaluation framework for Agenda for Change </w:t>
      </w:r>
      <w:r w:rsidR="00DE46E7">
        <w:rPr>
          <w:sz w:val="22"/>
          <w:szCs w:val="22"/>
        </w:rPr>
        <w:t xml:space="preserve">(AFC) </w:t>
      </w:r>
      <w:r>
        <w:rPr>
          <w:sz w:val="22"/>
          <w:szCs w:val="22"/>
        </w:rPr>
        <w:t>staff to determine appropriate pay bandings; this provides a clear process of paying employees equally for the same or equivalent work.</w:t>
      </w:r>
      <w:r w:rsidR="007C3DAB">
        <w:rPr>
          <w:sz w:val="22"/>
          <w:szCs w:val="22"/>
        </w:rPr>
        <w:t xml:space="preserve"> </w:t>
      </w:r>
      <w:r>
        <w:rPr>
          <w:sz w:val="22"/>
          <w:szCs w:val="22"/>
        </w:rPr>
        <w:t xml:space="preserve"> Each grade has a set of pay points for annual progression, the longer period that someone has been in a grade the higher their salary is likely to be</w:t>
      </w:r>
      <w:r w:rsidR="00747535">
        <w:rPr>
          <w:sz w:val="22"/>
          <w:szCs w:val="22"/>
        </w:rPr>
        <w:t>,</w:t>
      </w:r>
      <w:r>
        <w:rPr>
          <w:sz w:val="22"/>
          <w:szCs w:val="22"/>
        </w:rPr>
        <w:t xml:space="preserve"> irrespective of their gender. </w:t>
      </w:r>
    </w:p>
    <w:p w14:paraId="31DACF0F" w14:textId="77777777" w:rsidR="007D6280" w:rsidRDefault="007D6280" w:rsidP="004B595F">
      <w:pPr>
        <w:pStyle w:val="Default"/>
        <w:jc w:val="both"/>
        <w:rPr>
          <w:sz w:val="22"/>
          <w:szCs w:val="22"/>
        </w:rPr>
      </w:pPr>
    </w:p>
    <w:p w14:paraId="0A7DB958" w14:textId="77777777" w:rsidR="00DE46E7" w:rsidRDefault="007D6280" w:rsidP="004B595F">
      <w:pPr>
        <w:pStyle w:val="Default"/>
        <w:jc w:val="both"/>
        <w:rPr>
          <w:sz w:val="22"/>
          <w:szCs w:val="22"/>
        </w:rPr>
      </w:pPr>
      <w:r>
        <w:rPr>
          <w:sz w:val="22"/>
          <w:szCs w:val="22"/>
        </w:rPr>
        <w:t xml:space="preserve">It </w:t>
      </w:r>
      <w:r w:rsidR="00DE46E7">
        <w:rPr>
          <w:sz w:val="22"/>
          <w:szCs w:val="22"/>
        </w:rPr>
        <w:t xml:space="preserve">is important to note that </w:t>
      </w:r>
      <w:r>
        <w:rPr>
          <w:sz w:val="22"/>
          <w:szCs w:val="22"/>
        </w:rPr>
        <w:t xml:space="preserve">gender pay gap reporting is different from equal pay which deals with the pay differences between men and women who carry out the same job, similar job or work of equal value. </w:t>
      </w:r>
      <w:r w:rsidR="007C3DAB">
        <w:rPr>
          <w:sz w:val="22"/>
          <w:szCs w:val="22"/>
        </w:rPr>
        <w:t xml:space="preserve"> </w:t>
      </w:r>
      <w:r>
        <w:rPr>
          <w:sz w:val="22"/>
          <w:szCs w:val="22"/>
        </w:rPr>
        <w:t>It is prohibited under UK law to pay people unequally because they are a man or a woman.</w:t>
      </w:r>
      <w:r w:rsidR="007C3DAB">
        <w:rPr>
          <w:sz w:val="22"/>
          <w:szCs w:val="22"/>
        </w:rPr>
        <w:t xml:space="preserve"> </w:t>
      </w:r>
      <w:r>
        <w:rPr>
          <w:sz w:val="22"/>
          <w:szCs w:val="22"/>
        </w:rPr>
        <w:t xml:space="preserve"> </w:t>
      </w:r>
    </w:p>
    <w:p w14:paraId="61ECCECA" w14:textId="77777777" w:rsidR="00DE46E7" w:rsidRDefault="00DE46E7" w:rsidP="004B595F">
      <w:pPr>
        <w:pStyle w:val="Default"/>
        <w:jc w:val="both"/>
        <w:rPr>
          <w:sz w:val="22"/>
          <w:szCs w:val="22"/>
        </w:rPr>
      </w:pPr>
    </w:p>
    <w:p w14:paraId="1B0470FB" w14:textId="4BF83F60" w:rsidR="007D6280" w:rsidRDefault="007D6280" w:rsidP="00DE46E7">
      <w:pPr>
        <w:pStyle w:val="Default"/>
        <w:rPr>
          <w:sz w:val="22"/>
          <w:szCs w:val="22"/>
        </w:rPr>
      </w:pPr>
      <w:r>
        <w:rPr>
          <w:sz w:val="22"/>
          <w:szCs w:val="22"/>
        </w:rPr>
        <w:t>The gender pay gap shows the differences</w:t>
      </w:r>
      <w:r w:rsidR="00F273E1">
        <w:rPr>
          <w:sz w:val="22"/>
          <w:szCs w:val="22"/>
        </w:rPr>
        <w:t xml:space="preserve"> in the average pay between males </w:t>
      </w:r>
      <w:r>
        <w:rPr>
          <w:sz w:val="22"/>
          <w:szCs w:val="22"/>
        </w:rPr>
        <w:t xml:space="preserve">and </w:t>
      </w:r>
      <w:r w:rsidR="00F273E1">
        <w:rPr>
          <w:sz w:val="22"/>
          <w:szCs w:val="22"/>
        </w:rPr>
        <w:t xml:space="preserve">females </w:t>
      </w:r>
      <w:r>
        <w:rPr>
          <w:sz w:val="22"/>
          <w:szCs w:val="22"/>
        </w:rPr>
        <w:t xml:space="preserve">and the regulations require both median and mean figures to be reported. </w:t>
      </w:r>
      <w:r w:rsidR="007C3DAB">
        <w:rPr>
          <w:sz w:val="22"/>
          <w:szCs w:val="22"/>
        </w:rPr>
        <w:t xml:space="preserve"> </w:t>
      </w:r>
      <w:r>
        <w:rPr>
          <w:sz w:val="22"/>
          <w:szCs w:val="22"/>
        </w:rPr>
        <w:t xml:space="preserve">The median shows the mid-point salary of any sample, calculated through sorting the hourly rates from lowest to highest and calculating the middle value. </w:t>
      </w:r>
      <w:r w:rsidR="007C3DAB">
        <w:rPr>
          <w:sz w:val="22"/>
          <w:szCs w:val="22"/>
        </w:rPr>
        <w:t xml:space="preserve"> </w:t>
      </w:r>
      <w:r>
        <w:rPr>
          <w:sz w:val="22"/>
          <w:szCs w:val="22"/>
        </w:rPr>
        <w:t xml:space="preserve">The mean is the overall average of the sample and therefore the overall figure can be influenced by any extremely high or low hourly rates of pay. It is therefore possible to have genuine pay equality but still have a significant gender pay gap. </w:t>
      </w:r>
    </w:p>
    <w:p w14:paraId="146F19FD" w14:textId="77777777" w:rsidR="007D6280" w:rsidRDefault="007D6280" w:rsidP="004B595F">
      <w:pPr>
        <w:pStyle w:val="Default"/>
        <w:jc w:val="both"/>
        <w:rPr>
          <w:sz w:val="22"/>
          <w:szCs w:val="22"/>
        </w:rPr>
      </w:pPr>
    </w:p>
    <w:p w14:paraId="3F6A83D9" w14:textId="43BDB63A" w:rsidR="006F68EF" w:rsidRPr="006F68EF" w:rsidRDefault="006F68EF" w:rsidP="006F68EF">
      <w:pPr>
        <w:pStyle w:val="Default"/>
        <w:rPr>
          <w:b/>
          <w:bCs/>
          <w:sz w:val="22"/>
          <w:szCs w:val="22"/>
        </w:rPr>
      </w:pPr>
      <w:r>
        <w:rPr>
          <w:b/>
          <w:bCs/>
          <w:sz w:val="22"/>
          <w:szCs w:val="22"/>
        </w:rPr>
        <w:t>2</w:t>
      </w:r>
      <w:r w:rsidRPr="006F68EF">
        <w:rPr>
          <w:b/>
          <w:bCs/>
          <w:sz w:val="22"/>
          <w:szCs w:val="22"/>
        </w:rPr>
        <w:t>.</w:t>
      </w:r>
      <w:r w:rsidRPr="006F68EF">
        <w:rPr>
          <w:b/>
          <w:bCs/>
          <w:sz w:val="22"/>
          <w:szCs w:val="22"/>
        </w:rPr>
        <w:tab/>
        <w:t>NHS Pay Structure</w:t>
      </w:r>
    </w:p>
    <w:p w14:paraId="13A1134E" w14:textId="06D15291" w:rsidR="006F68EF" w:rsidRDefault="006F68EF" w:rsidP="006F68EF">
      <w:pPr>
        <w:pStyle w:val="Default"/>
        <w:rPr>
          <w:sz w:val="22"/>
          <w:szCs w:val="22"/>
        </w:rPr>
      </w:pPr>
      <w:r w:rsidRPr="006F68EF">
        <w:rPr>
          <w:sz w:val="22"/>
          <w:szCs w:val="22"/>
        </w:rPr>
        <w:t xml:space="preserve">The majority of DBTH staff work under the central NHS terms and conditions known as ‘Agenda for Change’.  These arrangements were introduced in 2004 with the express intention of avoiding pay inequalities.  Agenda for Change covers more than 1 million people and harmonises their pay scales and career progression arrangements across traditionally separate pay groups.  Staff are expected to move up the pay bands irrespective of gender. Medical and Dental staff have different sets of </w:t>
      </w:r>
      <w:r>
        <w:rPr>
          <w:sz w:val="22"/>
          <w:szCs w:val="22"/>
        </w:rPr>
        <w:t>T</w:t>
      </w:r>
      <w:r w:rsidRPr="006F68EF">
        <w:rPr>
          <w:sz w:val="22"/>
          <w:szCs w:val="22"/>
        </w:rPr>
        <w:t xml:space="preserve">erms and Conditions, depending on their seniority.  However, these too are set across </w:t>
      </w:r>
      <w:r w:rsidR="00DF3120" w:rsidRPr="006F68EF">
        <w:rPr>
          <w:sz w:val="22"/>
          <w:szCs w:val="22"/>
        </w:rPr>
        <w:t>several</w:t>
      </w:r>
      <w:r w:rsidRPr="006F68EF">
        <w:rPr>
          <w:sz w:val="22"/>
          <w:szCs w:val="22"/>
        </w:rPr>
        <w:t xml:space="preserve"> pay scales for basic pay, which have varying thresholds within them.</w:t>
      </w:r>
    </w:p>
    <w:p w14:paraId="14A30EF1" w14:textId="77777777" w:rsidR="006F68EF" w:rsidRDefault="006F68EF" w:rsidP="00DE46E7">
      <w:pPr>
        <w:pStyle w:val="Default"/>
        <w:rPr>
          <w:sz w:val="22"/>
          <w:szCs w:val="22"/>
        </w:rPr>
      </w:pPr>
    </w:p>
    <w:p w14:paraId="24D40CD5" w14:textId="3E68848C" w:rsidR="006F68EF" w:rsidRPr="00507134" w:rsidRDefault="006F68EF" w:rsidP="006F68EF">
      <w:pPr>
        <w:pStyle w:val="Default"/>
        <w:rPr>
          <w:b/>
          <w:bCs/>
          <w:color w:val="000000" w:themeColor="text1"/>
          <w:sz w:val="22"/>
          <w:szCs w:val="22"/>
        </w:rPr>
      </w:pPr>
      <w:r w:rsidRPr="00507134">
        <w:rPr>
          <w:b/>
          <w:bCs/>
          <w:color w:val="000000" w:themeColor="text1"/>
          <w:sz w:val="22"/>
          <w:szCs w:val="22"/>
        </w:rPr>
        <w:t xml:space="preserve">Our Data </w:t>
      </w:r>
    </w:p>
    <w:p w14:paraId="7C0B14C2" w14:textId="629836AE" w:rsidR="00C3143A" w:rsidRPr="00507134" w:rsidRDefault="00502CAE" w:rsidP="00DE46E7">
      <w:pPr>
        <w:pStyle w:val="Default"/>
        <w:rPr>
          <w:color w:val="000000" w:themeColor="text1"/>
          <w:sz w:val="22"/>
          <w:szCs w:val="22"/>
        </w:rPr>
      </w:pPr>
      <w:r w:rsidRPr="00507134">
        <w:rPr>
          <w:color w:val="000000" w:themeColor="text1"/>
          <w:sz w:val="22"/>
          <w:szCs w:val="22"/>
        </w:rPr>
        <w:t>On 31 March 2021</w:t>
      </w:r>
      <w:r w:rsidR="009B1396" w:rsidRPr="00507134">
        <w:rPr>
          <w:color w:val="000000" w:themeColor="text1"/>
          <w:sz w:val="22"/>
          <w:szCs w:val="22"/>
        </w:rPr>
        <w:t xml:space="preserve">, the Trust employed a total of </w:t>
      </w:r>
      <w:r w:rsidR="00CC37EB" w:rsidRPr="00507134">
        <w:rPr>
          <w:color w:val="000000" w:themeColor="text1"/>
          <w:sz w:val="22"/>
          <w:szCs w:val="22"/>
        </w:rPr>
        <w:t>6</w:t>
      </w:r>
      <w:r w:rsidR="00B67022" w:rsidRPr="00507134">
        <w:rPr>
          <w:color w:val="000000" w:themeColor="text1"/>
          <w:sz w:val="22"/>
          <w:szCs w:val="22"/>
        </w:rPr>
        <w:t>78</w:t>
      </w:r>
      <w:r w:rsidR="009B24C8" w:rsidRPr="00507134">
        <w:rPr>
          <w:color w:val="000000" w:themeColor="text1"/>
          <w:sz w:val="22"/>
          <w:szCs w:val="22"/>
        </w:rPr>
        <w:t>4</w:t>
      </w:r>
      <w:r w:rsidR="009B1396" w:rsidRPr="00507134">
        <w:rPr>
          <w:color w:val="000000" w:themeColor="text1"/>
          <w:sz w:val="22"/>
          <w:szCs w:val="22"/>
        </w:rPr>
        <w:t xml:space="preserve"> staff including AFC, Medical and </w:t>
      </w:r>
      <w:r w:rsidR="00DE46E7" w:rsidRPr="00507134">
        <w:rPr>
          <w:color w:val="000000" w:themeColor="text1"/>
          <w:sz w:val="22"/>
          <w:szCs w:val="22"/>
        </w:rPr>
        <w:t>D</w:t>
      </w:r>
      <w:r w:rsidR="009B1396" w:rsidRPr="00507134">
        <w:rPr>
          <w:color w:val="000000" w:themeColor="text1"/>
          <w:sz w:val="22"/>
          <w:szCs w:val="22"/>
        </w:rPr>
        <w:t xml:space="preserve">ental and </w:t>
      </w:r>
      <w:r w:rsidR="00DE46E7" w:rsidRPr="00507134">
        <w:rPr>
          <w:color w:val="000000" w:themeColor="text1"/>
          <w:sz w:val="22"/>
          <w:szCs w:val="22"/>
        </w:rPr>
        <w:t>C</w:t>
      </w:r>
      <w:r w:rsidR="009B1396" w:rsidRPr="00507134">
        <w:rPr>
          <w:color w:val="000000" w:themeColor="text1"/>
          <w:sz w:val="22"/>
          <w:szCs w:val="22"/>
        </w:rPr>
        <w:t>onsultants.</w:t>
      </w:r>
      <w:r w:rsidR="00B54657" w:rsidRPr="00507134">
        <w:rPr>
          <w:color w:val="000000" w:themeColor="text1"/>
          <w:sz w:val="22"/>
          <w:szCs w:val="22"/>
        </w:rPr>
        <w:t xml:space="preserve"> </w:t>
      </w:r>
      <w:r w:rsidR="009B1396" w:rsidRPr="00507134">
        <w:rPr>
          <w:color w:val="000000" w:themeColor="text1"/>
          <w:sz w:val="22"/>
          <w:szCs w:val="22"/>
        </w:rPr>
        <w:t xml:space="preserve">Of the </w:t>
      </w:r>
      <w:r w:rsidR="000A5F95" w:rsidRPr="00507134">
        <w:rPr>
          <w:color w:val="000000" w:themeColor="text1"/>
          <w:sz w:val="22"/>
          <w:szCs w:val="22"/>
        </w:rPr>
        <w:t xml:space="preserve">AFC </w:t>
      </w:r>
      <w:r w:rsidR="00B54657" w:rsidRPr="00507134">
        <w:rPr>
          <w:color w:val="000000" w:themeColor="text1"/>
          <w:sz w:val="22"/>
          <w:szCs w:val="22"/>
        </w:rPr>
        <w:t xml:space="preserve">staff </w:t>
      </w:r>
      <w:r w:rsidRPr="00507134">
        <w:rPr>
          <w:color w:val="000000" w:themeColor="text1"/>
          <w:sz w:val="22"/>
          <w:szCs w:val="22"/>
        </w:rPr>
        <w:t>83</w:t>
      </w:r>
      <w:r w:rsidR="00B54657" w:rsidRPr="00507134">
        <w:rPr>
          <w:color w:val="000000" w:themeColor="text1"/>
          <w:sz w:val="22"/>
          <w:szCs w:val="22"/>
        </w:rPr>
        <w:t xml:space="preserve">% </w:t>
      </w:r>
      <w:r w:rsidR="00C3143A" w:rsidRPr="00507134">
        <w:rPr>
          <w:color w:val="000000" w:themeColor="text1"/>
          <w:sz w:val="22"/>
          <w:szCs w:val="22"/>
        </w:rPr>
        <w:t>(</w:t>
      </w:r>
      <w:r w:rsidRPr="00507134">
        <w:rPr>
          <w:color w:val="000000" w:themeColor="text1"/>
          <w:sz w:val="22"/>
          <w:szCs w:val="22"/>
        </w:rPr>
        <w:t>5131</w:t>
      </w:r>
      <w:r w:rsidR="00C3143A" w:rsidRPr="00507134">
        <w:rPr>
          <w:color w:val="000000" w:themeColor="text1"/>
          <w:sz w:val="22"/>
          <w:szCs w:val="22"/>
        </w:rPr>
        <w:t xml:space="preserve">) </w:t>
      </w:r>
      <w:r w:rsidRPr="00507134">
        <w:rPr>
          <w:color w:val="000000" w:themeColor="text1"/>
          <w:sz w:val="22"/>
          <w:szCs w:val="22"/>
        </w:rPr>
        <w:t>are female and 17% male (795</w:t>
      </w:r>
      <w:r w:rsidR="007D6280" w:rsidRPr="00507134">
        <w:rPr>
          <w:color w:val="000000" w:themeColor="text1"/>
          <w:sz w:val="22"/>
          <w:szCs w:val="22"/>
        </w:rPr>
        <w:t>)</w:t>
      </w:r>
      <w:r w:rsidR="001D73B7" w:rsidRPr="00507134">
        <w:rPr>
          <w:color w:val="000000" w:themeColor="text1"/>
          <w:sz w:val="22"/>
          <w:szCs w:val="22"/>
        </w:rPr>
        <w:t xml:space="preserve">, </w:t>
      </w:r>
      <w:r w:rsidR="00B67022" w:rsidRPr="00507134">
        <w:rPr>
          <w:color w:val="000000" w:themeColor="text1"/>
          <w:sz w:val="22"/>
          <w:szCs w:val="22"/>
        </w:rPr>
        <w:t>596</w:t>
      </w:r>
      <w:r w:rsidR="00B54657" w:rsidRPr="00507134">
        <w:rPr>
          <w:color w:val="000000" w:themeColor="text1"/>
          <w:sz w:val="22"/>
          <w:szCs w:val="22"/>
        </w:rPr>
        <w:t xml:space="preserve"> Medical and</w:t>
      </w:r>
      <w:r w:rsidR="00AB2CA6" w:rsidRPr="00507134">
        <w:rPr>
          <w:color w:val="000000" w:themeColor="text1"/>
          <w:sz w:val="22"/>
          <w:szCs w:val="22"/>
        </w:rPr>
        <w:t xml:space="preserve"> Dental staff of which 3</w:t>
      </w:r>
      <w:r w:rsidR="00B67022" w:rsidRPr="00507134">
        <w:rPr>
          <w:color w:val="000000" w:themeColor="text1"/>
          <w:sz w:val="22"/>
          <w:szCs w:val="22"/>
        </w:rPr>
        <w:t>9</w:t>
      </w:r>
      <w:r w:rsidR="00AB2CA6" w:rsidRPr="00507134">
        <w:rPr>
          <w:color w:val="000000" w:themeColor="text1"/>
          <w:sz w:val="22"/>
          <w:szCs w:val="22"/>
        </w:rPr>
        <w:t>%</w:t>
      </w:r>
      <w:r w:rsidR="00C3143A" w:rsidRPr="00507134">
        <w:rPr>
          <w:color w:val="000000" w:themeColor="text1"/>
          <w:sz w:val="22"/>
          <w:szCs w:val="22"/>
        </w:rPr>
        <w:t xml:space="preserve"> (</w:t>
      </w:r>
      <w:r w:rsidR="00B67022" w:rsidRPr="00507134">
        <w:rPr>
          <w:color w:val="000000" w:themeColor="text1"/>
          <w:sz w:val="22"/>
          <w:szCs w:val="22"/>
        </w:rPr>
        <w:t>211</w:t>
      </w:r>
      <w:r w:rsidR="00C3143A" w:rsidRPr="00507134">
        <w:rPr>
          <w:color w:val="000000" w:themeColor="text1"/>
          <w:sz w:val="22"/>
          <w:szCs w:val="22"/>
        </w:rPr>
        <w:t>)</w:t>
      </w:r>
      <w:r w:rsidR="00AB2CA6" w:rsidRPr="00507134">
        <w:rPr>
          <w:color w:val="000000" w:themeColor="text1"/>
          <w:sz w:val="22"/>
          <w:szCs w:val="22"/>
        </w:rPr>
        <w:t xml:space="preserve"> are female</w:t>
      </w:r>
      <w:r w:rsidR="00C3143A" w:rsidRPr="00507134">
        <w:rPr>
          <w:color w:val="000000" w:themeColor="text1"/>
          <w:sz w:val="22"/>
          <w:szCs w:val="22"/>
        </w:rPr>
        <w:t xml:space="preserve"> a</w:t>
      </w:r>
      <w:r w:rsidR="00AB2CA6" w:rsidRPr="00507134">
        <w:rPr>
          <w:color w:val="000000" w:themeColor="text1"/>
          <w:sz w:val="22"/>
          <w:szCs w:val="22"/>
        </w:rPr>
        <w:t xml:space="preserve">nd </w:t>
      </w:r>
      <w:r w:rsidR="00C3143A" w:rsidRPr="00507134">
        <w:rPr>
          <w:color w:val="000000" w:themeColor="text1"/>
          <w:sz w:val="22"/>
          <w:szCs w:val="22"/>
        </w:rPr>
        <w:t>6</w:t>
      </w:r>
      <w:r w:rsidR="00B67022" w:rsidRPr="00507134">
        <w:rPr>
          <w:color w:val="000000" w:themeColor="text1"/>
          <w:sz w:val="22"/>
          <w:szCs w:val="22"/>
        </w:rPr>
        <w:t>1</w:t>
      </w:r>
      <w:r w:rsidR="00C3143A" w:rsidRPr="00507134">
        <w:rPr>
          <w:color w:val="000000" w:themeColor="text1"/>
          <w:sz w:val="22"/>
          <w:szCs w:val="22"/>
        </w:rPr>
        <w:t>% (</w:t>
      </w:r>
      <w:r w:rsidR="00B67022" w:rsidRPr="00507134">
        <w:rPr>
          <w:color w:val="000000" w:themeColor="text1"/>
          <w:sz w:val="22"/>
          <w:szCs w:val="22"/>
        </w:rPr>
        <w:t>385</w:t>
      </w:r>
      <w:r w:rsidR="00C3143A" w:rsidRPr="00507134">
        <w:rPr>
          <w:color w:val="000000" w:themeColor="text1"/>
          <w:sz w:val="22"/>
          <w:szCs w:val="22"/>
        </w:rPr>
        <w:t xml:space="preserve">) </w:t>
      </w:r>
      <w:r w:rsidR="00AB2CA6" w:rsidRPr="00507134">
        <w:rPr>
          <w:color w:val="000000" w:themeColor="text1"/>
          <w:sz w:val="22"/>
          <w:szCs w:val="22"/>
        </w:rPr>
        <w:t>mal</w:t>
      </w:r>
      <w:r w:rsidR="00C3143A" w:rsidRPr="00507134">
        <w:rPr>
          <w:color w:val="000000" w:themeColor="text1"/>
          <w:sz w:val="22"/>
          <w:szCs w:val="22"/>
        </w:rPr>
        <w:t>e</w:t>
      </w:r>
      <w:r w:rsidR="00AB2CA6" w:rsidRPr="00507134">
        <w:rPr>
          <w:color w:val="000000" w:themeColor="text1"/>
          <w:sz w:val="22"/>
          <w:szCs w:val="22"/>
        </w:rPr>
        <w:t>.</w:t>
      </w:r>
      <w:r w:rsidR="006F68EF" w:rsidRPr="00507134">
        <w:rPr>
          <w:color w:val="000000" w:themeColor="text1"/>
          <w:sz w:val="22"/>
          <w:szCs w:val="22"/>
        </w:rPr>
        <w:t xml:space="preserve"> </w:t>
      </w:r>
    </w:p>
    <w:p w14:paraId="0C038E8A" w14:textId="7F7FF775" w:rsidR="00C56143" w:rsidRPr="00507134" w:rsidRDefault="00C56143" w:rsidP="00DE46E7">
      <w:pPr>
        <w:pStyle w:val="Default"/>
        <w:rPr>
          <w:color w:val="000000" w:themeColor="text1"/>
          <w:sz w:val="22"/>
          <w:szCs w:val="22"/>
        </w:rPr>
      </w:pPr>
    </w:p>
    <w:p w14:paraId="61267D36" w14:textId="585868A9" w:rsidR="00C56143" w:rsidRPr="00507134" w:rsidRDefault="00C56143" w:rsidP="00C56143">
      <w:pPr>
        <w:pStyle w:val="Default"/>
        <w:jc w:val="both"/>
        <w:rPr>
          <w:color w:val="000000" w:themeColor="text1"/>
          <w:sz w:val="22"/>
          <w:szCs w:val="22"/>
        </w:rPr>
      </w:pPr>
      <w:r w:rsidRPr="00507134">
        <w:rPr>
          <w:color w:val="000000" w:themeColor="text1"/>
          <w:sz w:val="22"/>
          <w:szCs w:val="22"/>
        </w:rPr>
        <w:t>The table below reflects the overall numbers of Full Time Equivalent (FTE) males and females in each quartile.  It is apparent from the table below that as an organisation with a total workf</w:t>
      </w:r>
      <w:r w:rsidR="00502CAE" w:rsidRPr="00507134">
        <w:rPr>
          <w:color w:val="000000" w:themeColor="text1"/>
          <w:sz w:val="22"/>
          <w:szCs w:val="22"/>
        </w:rPr>
        <w:t xml:space="preserve">orce of </w:t>
      </w:r>
      <w:r w:rsidR="00CC37EB" w:rsidRPr="00507134">
        <w:rPr>
          <w:color w:val="000000" w:themeColor="text1"/>
          <w:sz w:val="22"/>
          <w:szCs w:val="22"/>
        </w:rPr>
        <w:t>6</w:t>
      </w:r>
      <w:r w:rsidR="00B67022" w:rsidRPr="00507134">
        <w:rPr>
          <w:color w:val="000000" w:themeColor="text1"/>
          <w:sz w:val="22"/>
          <w:szCs w:val="22"/>
        </w:rPr>
        <w:t>78</w:t>
      </w:r>
      <w:r w:rsidR="009A4E82" w:rsidRPr="00507134">
        <w:rPr>
          <w:color w:val="000000" w:themeColor="text1"/>
          <w:sz w:val="22"/>
          <w:szCs w:val="22"/>
        </w:rPr>
        <w:t>4</w:t>
      </w:r>
      <w:r w:rsidR="00502CAE" w:rsidRPr="00507134">
        <w:rPr>
          <w:color w:val="000000" w:themeColor="text1"/>
          <w:sz w:val="22"/>
          <w:szCs w:val="22"/>
        </w:rPr>
        <w:t xml:space="preserve"> we employ </w:t>
      </w:r>
      <w:r w:rsidR="00CC37EB" w:rsidRPr="00507134">
        <w:rPr>
          <w:color w:val="000000" w:themeColor="text1"/>
          <w:sz w:val="22"/>
          <w:szCs w:val="22"/>
        </w:rPr>
        <w:t>5</w:t>
      </w:r>
      <w:r w:rsidR="003B0FC5" w:rsidRPr="00507134">
        <w:rPr>
          <w:color w:val="000000" w:themeColor="text1"/>
          <w:sz w:val="22"/>
          <w:szCs w:val="22"/>
        </w:rPr>
        <w:t>411</w:t>
      </w:r>
      <w:r w:rsidR="00B67022" w:rsidRPr="00507134">
        <w:rPr>
          <w:color w:val="000000" w:themeColor="text1"/>
          <w:sz w:val="22"/>
          <w:szCs w:val="22"/>
        </w:rPr>
        <w:t xml:space="preserve"> </w:t>
      </w:r>
      <w:r w:rsidR="00502CAE" w:rsidRPr="00507134">
        <w:rPr>
          <w:color w:val="000000" w:themeColor="text1"/>
          <w:sz w:val="22"/>
          <w:szCs w:val="22"/>
        </w:rPr>
        <w:t>(</w:t>
      </w:r>
      <w:r w:rsidR="009A4E82" w:rsidRPr="00507134">
        <w:rPr>
          <w:color w:val="000000" w:themeColor="text1"/>
          <w:sz w:val="22"/>
          <w:szCs w:val="22"/>
        </w:rPr>
        <w:t>80</w:t>
      </w:r>
      <w:r w:rsidR="00502CAE" w:rsidRPr="00507134">
        <w:rPr>
          <w:color w:val="000000" w:themeColor="text1"/>
          <w:sz w:val="22"/>
          <w:szCs w:val="22"/>
        </w:rPr>
        <w:t xml:space="preserve">%) females and </w:t>
      </w:r>
      <w:r w:rsidR="00CC37EB" w:rsidRPr="00507134">
        <w:rPr>
          <w:color w:val="000000" w:themeColor="text1"/>
          <w:sz w:val="22"/>
          <w:szCs w:val="22"/>
        </w:rPr>
        <w:t>1</w:t>
      </w:r>
      <w:r w:rsidR="009A4E82" w:rsidRPr="00507134">
        <w:rPr>
          <w:color w:val="000000" w:themeColor="text1"/>
          <w:sz w:val="22"/>
          <w:szCs w:val="22"/>
        </w:rPr>
        <w:t>373</w:t>
      </w:r>
      <w:r w:rsidR="00502CAE" w:rsidRPr="00507134">
        <w:rPr>
          <w:color w:val="000000" w:themeColor="text1"/>
          <w:sz w:val="22"/>
          <w:szCs w:val="22"/>
        </w:rPr>
        <w:t xml:space="preserve"> (</w:t>
      </w:r>
      <w:r w:rsidR="009A4E82" w:rsidRPr="00507134">
        <w:rPr>
          <w:color w:val="000000" w:themeColor="text1"/>
          <w:sz w:val="22"/>
          <w:szCs w:val="22"/>
        </w:rPr>
        <w:t>20</w:t>
      </w:r>
      <w:r w:rsidRPr="00507134">
        <w:rPr>
          <w:color w:val="000000" w:themeColor="text1"/>
          <w:sz w:val="22"/>
          <w:szCs w:val="22"/>
        </w:rPr>
        <w:t xml:space="preserve">%) males.  </w:t>
      </w:r>
    </w:p>
    <w:p w14:paraId="1C9E77AE" w14:textId="77777777" w:rsidR="00C56143" w:rsidRDefault="00C56143" w:rsidP="00C56143">
      <w:pPr>
        <w:pStyle w:val="Default"/>
        <w:jc w:val="both"/>
        <w:rPr>
          <w:b/>
          <w:color w:val="000000" w:themeColor="text1"/>
        </w:rPr>
      </w:pPr>
    </w:p>
    <w:p w14:paraId="066219BE" w14:textId="06612428" w:rsidR="00C56143" w:rsidRDefault="00C56143" w:rsidP="00C56143">
      <w:pPr>
        <w:pStyle w:val="Default"/>
        <w:spacing w:after="60"/>
        <w:jc w:val="both"/>
        <w:rPr>
          <w:b/>
          <w:color w:val="000000" w:themeColor="text1"/>
        </w:rPr>
      </w:pPr>
      <w:r>
        <w:rPr>
          <w:b/>
          <w:color w:val="000000" w:themeColor="text1"/>
        </w:rPr>
        <w:t>Proportion of FTE Males a</w:t>
      </w:r>
      <w:r w:rsidR="00FB1656">
        <w:rPr>
          <w:b/>
          <w:color w:val="000000" w:themeColor="text1"/>
        </w:rPr>
        <w:t>nd Females in each pay quartile</w:t>
      </w:r>
    </w:p>
    <w:p w14:paraId="6FAE2BB9" w14:textId="07D04A07" w:rsidR="00D47C22" w:rsidRDefault="00D47C22" w:rsidP="00C56143">
      <w:pPr>
        <w:pStyle w:val="Default"/>
        <w:spacing w:after="60"/>
        <w:jc w:val="both"/>
        <w:rPr>
          <w:b/>
          <w:color w:val="000000" w:themeColor="text1"/>
        </w:rPr>
      </w:pPr>
      <w:r>
        <w:rPr>
          <w:b/>
          <w:color w:val="000000" w:themeColor="text1"/>
        </w:rPr>
        <w:t>2021</w:t>
      </w:r>
    </w:p>
    <w:tbl>
      <w:tblPr>
        <w:tblW w:w="6780" w:type="dxa"/>
        <w:tblLook w:val="04A0" w:firstRow="1" w:lastRow="0" w:firstColumn="1" w:lastColumn="0" w:noHBand="0" w:noVBand="1"/>
      </w:tblPr>
      <w:tblGrid>
        <w:gridCol w:w="3697"/>
        <w:gridCol w:w="743"/>
        <w:gridCol w:w="760"/>
        <w:gridCol w:w="880"/>
        <w:gridCol w:w="700"/>
      </w:tblGrid>
      <w:tr w:rsidR="005D7C80" w:rsidRPr="005D7C80" w14:paraId="22ECAACD" w14:textId="77777777" w:rsidTr="005D7C80">
        <w:trPr>
          <w:trHeight w:val="288"/>
        </w:trPr>
        <w:tc>
          <w:tcPr>
            <w:tcW w:w="3700" w:type="dxa"/>
            <w:tcBorders>
              <w:top w:val="single" w:sz="4" w:space="0" w:color="979991"/>
              <w:left w:val="single" w:sz="4" w:space="0" w:color="979991"/>
              <w:bottom w:val="nil"/>
              <w:right w:val="nil"/>
            </w:tcBorders>
            <w:shd w:val="clear" w:color="000000" w:fill="0066CC"/>
            <w:hideMark/>
          </w:tcPr>
          <w:p w14:paraId="29248A3F"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Quartile</w:t>
            </w:r>
          </w:p>
        </w:tc>
        <w:tc>
          <w:tcPr>
            <w:tcW w:w="740" w:type="dxa"/>
            <w:tcBorders>
              <w:top w:val="single" w:sz="4" w:space="0" w:color="979991"/>
              <w:left w:val="single" w:sz="4" w:space="0" w:color="979991"/>
              <w:bottom w:val="single" w:sz="4" w:space="0" w:color="979991"/>
              <w:right w:val="nil"/>
            </w:tcBorders>
            <w:shd w:val="clear" w:color="000000" w:fill="0066CC"/>
            <w:hideMark/>
          </w:tcPr>
          <w:p w14:paraId="79D8502D"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Female</w:t>
            </w:r>
          </w:p>
        </w:tc>
        <w:tc>
          <w:tcPr>
            <w:tcW w:w="760" w:type="dxa"/>
            <w:tcBorders>
              <w:top w:val="single" w:sz="4" w:space="0" w:color="979991"/>
              <w:left w:val="single" w:sz="4" w:space="0" w:color="979991"/>
              <w:bottom w:val="single" w:sz="4" w:space="0" w:color="979991"/>
              <w:right w:val="nil"/>
            </w:tcBorders>
            <w:shd w:val="clear" w:color="000000" w:fill="0066CC"/>
            <w:hideMark/>
          </w:tcPr>
          <w:p w14:paraId="7A88BE83"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Male</w:t>
            </w:r>
          </w:p>
        </w:tc>
        <w:tc>
          <w:tcPr>
            <w:tcW w:w="880" w:type="dxa"/>
            <w:tcBorders>
              <w:top w:val="single" w:sz="4" w:space="0" w:color="979991"/>
              <w:left w:val="single" w:sz="4" w:space="0" w:color="979991"/>
              <w:bottom w:val="single" w:sz="4" w:space="0" w:color="979991"/>
              <w:right w:val="nil"/>
            </w:tcBorders>
            <w:shd w:val="clear" w:color="000000" w:fill="0066CC"/>
            <w:hideMark/>
          </w:tcPr>
          <w:p w14:paraId="6B01A4A5"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Female %</w:t>
            </w:r>
          </w:p>
        </w:tc>
        <w:tc>
          <w:tcPr>
            <w:tcW w:w="700" w:type="dxa"/>
            <w:tcBorders>
              <w:top w:val="single" w:sz="4" w:space="0" w:color="979991"/>
              <w:left w:val="single" w:sz="4" w:space="0" w:color="979991"/>
              <w:bottom w:val="single" w:sz="4" w:space="0" w:color="979991"/>
              <w:right w:val="single" w:sz="4" w:space="0" w:color="979991"/>
            </w:tcBorders>
            <w:shd w:val="clear" w:color="000000" w:fill="0066CC"/>
            <w:hideMark/>
          </w:tcPr>
          <w:p w14:paraId="39162DED"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Male %</w:t>
            </w:r>
          </w:p>
        </w:tc>
      </w:tr>
      <w:tr w:rsidR="005D7C80" w:rsidRPr="005D7C80" w14:paraId="546E9CDD" w14:textId="77777777" w:rsidTr="005D7C80">
        <w:trPr>
          <w:trHeight w:val="288"/>
        </w:trPr>
        <w:tc>
          <w:tcPr>
            <w:tcW w:w="3700" w:type="dxa"/>
            <w:tcBorders>
              <w:top w:val="single" w:sz="4" w:space="0" w:color="979991"/>
              <w:left w:val="single" w:sz="4" w:space="0" w:color="979991"/>
              <w:bottom w:val="single" w:sz="4" w:space="0" w:color="979991"/>
              <w:right w:val="nil"/>
            </w:tcBorders>
            <w:shd w:val="clear" w:color="000000" w:fill="0066CC"/>
            <w:hideMark/>
          </w:tcPr>
          <w:p w14:paraId="6C613BCF"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1</w:t>
            </w:r>
          </w:p>
        </w:tc>
        <w:tc>
          <w:tcPr>
            <w:tcW w:w="740" w:type="dxa"/>
            <w:tcBorders>
              <w:top w:val="nil"/>
              <w:left w:val="single" w:sz="4" w:space="0" w:color="979991"/>
              <w:bottom w:val="single" w:sz="4" w:space="0" w:color="979991"/>
              <w:right w:val="nil"/>
            </w:tcBorders>
            <w:shd w:val="clear" w:color="000000" w:fill="FFFFFF"/>
            <w:hideMark/>
          </w:tcPr>
          <w:p w14:paraId="69405D06"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1381.00</w:t>
            </w:r>
          </w:p>
        </w:tc>
        <w:tc>
          <w:tcPr>
            <w:tcW w:w="760" w:type="dxa"/>
            <w:tcBorders>
              <w:top w:val="nil"/>
              <w:left w:val="single" w:sz="4" w:space="0" w:color="979991"/>
              <w:bottom w:val="single" w:sz="4" w:space="0" w:color="979991"/>
              <w:right w:val="nil"/>
            </w:tcBorders>
            <w:shd w:val="clear" w:color="000000" w:fill="FFFFFF"/>
            <w:hideMark/>
          </w:tcPr>
          <w:p w14:paraId="653D8D83"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214.00</w:t>
            </w:r>
          </w:p>
        </w:tc>
        <w:tc>
          <w:tcPr>
            <w:tcW w:w="880" w:type="dxa"/>
            <w:tcBorders>
              <w:top w:val="nil"/>
              <w:left w:val="single" w:sz="4" w:space="0" w:color="979991"/>
              <w:bottom w:val="single" w:sz="4" w:space="0" w:color="979991"/>
              <w:right w:val="nil"/>
            </w:tcBorders>
            <w:shd w:val="clear" w:color="000000" w:fill="FFFFFF"/>
            <w:hideMark/>
          </w:tcPr>
          <w:p w14:paraId="056ACEBC"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86.58%</w:t>
            </w:r>
          </w:p>
        </w:tc>
        <w:tc>
          <w:tcPr>
            <w:tcW w:w="700" w:type="dxa"/>
            <w:tcBorders>
              <w:top w:val="nil"/>
              <w:left w:val="single" w:sz="4" w:space="0" w:color="979991"/>
              <w:bottom w:val="single" w:sz="4" w:space="0" w:color="979991"/>
              <w:right w:val="single" w:sz="4" w:space="0" w:color="979991"/>
            </w:tcBorders>
            <w:shd w:val="clear" w:color="000000" w:fill="FFFFFF"/>
            <w:hideMark/>
          </w:tcPr>
          <w:p w14:paraId="6D89A43D"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13.42%</w:t>
            </w:r>
          </w:p>
        </w:tc>
      </w:tr>
      <w:tr w:rsidR="005D7C80" w:rsidRPr="005D7C80" w14:paraId="520020A4"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3284A8EC"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2</w:t>
            </w:r>
          </w:p>
        </w:tc>
        <w:tc>
          <w:tcPr>
            <w:tcW w:w="740" w:type="dxa"/>
            <w:tcBorders>
              <w:top w:val="nil"/>
              <w:left w:val="single" w:sz="4" w:space="0" w:color="979991"/>
              <w:bottom w:val="single" w:sz="4" w:space="0" w:color="979991"/>
              <w:right w:val="nil"/>
            </w:tcBorders>
            <w:shd w:val="clear" w:color="000000" w:fill="FFFFFF"/>
            <w:hideMark/>
          </w:tcPr>
          <w:p w14:paraId="26512906"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1447.00</w:t>
            </w:r>
          </w:p>
        </w:tc>
        <w:tc>
          <w:tcPr>
            <w:tcW w:w="760" w:type="dxa"/>
            <w:tcBorders>
              <w:top w:val="nil"/>
              <w:left w:val="single" w:sz="4" w:space="0" w:color="979991"/>
              <w:bottom w:val="single" w:sz="4" w:space="0" w:color="979991"/>
              <w:right w:val="nil"/>
            </w:tcBorders>
            <w:shd w:val="clear" w:color="000000" w:fill="FFFFFF"/>
            <w:hideMark/>
          </w:tcPr>
          <w:p w14:paraId="129F8301"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213.00</w:t>
            </w:r>
          </w:p>
        </w:tc>
        <w:tc>
          <w:tcPr>
            <w:tcW w:w="880" w:type="dxa"/>
            <w:tcBorders>
              <w:top w:val="nil"/>
              <w:left w:val="single" w:sz="4" w:space="0" w:color="979991"/>
              <w:bottom w:val="single" w:sz="4" w:space="0" w:color="979991"/>
              <w:right w:val="nil"/>
            </w:tcBorders>
            <w:shd w:val="clear" w:color="000000" w:fill="FFFFFF"/>
            <w:hideMark/>
          </w:tcPr>
          <w:p w14:paraId="0C717D35"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87.17%</w:t>
            </w:r>
          </w:p>
        </w:tc>
        <w:tc>
          <w:tcPr>
            <w:tcW w:w="700" w:type="dxa"/>
            <w:tcBorders>
              <w:top w:val="nil"/>
              <w:left w:val="single" w:sz="4" w:space="0" w:color="979991"/>
              <w:bottom w:val="single" w:sz="4" w:space="0" w:color="979991"/>
              <w:right w:val="single" w:sz="4" w:space="0" w:color="979991"/>
            </w:tcBorders>
            <w:shd w:val="clear" w:color="000000" w:fill="FFFFFF"/>
            <w:hideMark/>
          </w:tcPr>
          <w:p w14:paraId="78DD046F"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12.83%</w:t>
            </w:r>
          </w:p>
        </w:tc>
      </w:tr>
      <w:tr w:rsidR="005D7C80" w:rsidRPr="005D7C80" w14:paraId="0103D190"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69F11967"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3</w:t>
            </w:r>
          </w:p>
        </w:tc>
        <w:tc>
          <w:tcPr>
            <w:tcW w:w="740" w:type="dxa"/>
            <w:tcBorders>
              <w:top w:val="nil"/>
              <w:left w:val="single" w:sz="4" w:space="0" w:color="979991"/>
              <w:bottom w:val="single" w:sz="4" w:space="0" w:color="979991"/>
              <w:right w:val="nil"/>
            </w:tcBorders>
            <w:shd w:val="clear" w:color="000000" w:fill="FFFFFF"/>
            <w:hideMark/>
          </w:tcPr>
          <w:p w14:paraId="61687ED9"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1390.00</w:t>
            </w:r>
          </w:p>
        </w:tc>
        <w:tc>
          <w:tcPr>
            <w:tcW w:w="760" w:type="dxa"/>
            <w:tcBorders>
              <w:top w:val="nil"/>
              <w:left w:val="single" w:sz="4" w:space="0" w:color="979991"/>
              <w:bottom w:val="single" w:sz="4" w:space="0" w:color="979991"/>
              <w:right w:val="nil"/>
            </w:tcBorders>
            <w:shd w:val="clear" w:color="000000" w:fill="FFFFFF"/>
            <w:hideMark/>
          </w:tcPr>
          <w:p w14:paraId="00D74365"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183.00</w:t>
            </w:r>
          </w:p>
        </w:tc>
        <w:tc>
          <w:tcPr>
            <w:tcW w:w="880" w:type="dxa"/>
            <w:tcBorders>
              <w:top w:val="nil"/>
              <w:left w:val="single" w:sz="4" w:space="0" w:color="979991"/>
              <w:bottom w:val="single" w:sz="4" w:space="0" w:color="979991"/>
              <w:right w:val="nil"/>
            </w:tcBorders>
            <w:shd w:val="clear" w:color="000000" w:fill="FFFFFF"/>
            <w:hideMark/>
          </w:tcPr>
          <w:p w14:paraId="5D413722"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88.37%</w:t>
            </w:r>
          </w:p>
        </w:tc>
        <w:tc>
          <w:tcPr>
            <w:tcW w:w="700" w:type="dxa"/>
            <w:tcBorders>
              <w:top w:val="nil"/>
              <w:left w:val="single" w:sz="4" w:space="0" w:color="979991"/>
              <w:bottom w:val="single" w:sz="4" w:space="0" w:color="979991"/>
              <w:right w:val="single" w:sz="4" w:space="0" w:color="979991"/>
            </w:tcBorders>
            <w:shd w:val="clear" w:color="000000" w:fill="FFFFFF"/>
            <w:hideMark/>
          </w:tcPr>
          <w:p w14:paraId="29ECEB18"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11.63%</w:t>
            </w:r>
          </w:p>
        </w:tc>
      </w:tr>
      <w:tr w:rsidR="005D7C80" w:rsidRPr="005D7C80" w14:paraId="6D053645"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0A8B2CA0"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4</w:t>
            </w:r>
          </w:p>
        </w:tc>
        <w:tc>
          <w:tcPr>
            <w:tcW w:w="740" w:type="dxa"/>
            <w:tcBorders>
              <w:top w:val="nil"/>
              <w:left w:val="single" w:sz="4" w:space="0" w:color="979991"/>
              <w:bottom w:val="single" w:sz="4" w:space="0" w:color="979991"/>
              <w:right w:val="nil"/>
            </w:tcBorders>
            <w:shd w:val="clear" w:color="000000" w:fill="FFFFFF"/>
            <w:hideMark/>
          </w:tcPr>
          <w:p w14:paraId="183BA928"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913.00</w:t>
            </w:r>
          </w:p>
        </w:tc>
        <w:tc>
          <w:tcPr>
            <w:tcW w:w="760" w:type="dxa"/>
            <w:tcBorders>
              <w:top w:val="nil"/>
              <w:left w:val="single" w:sz="4" w:space="0" w:color="979991"/>
              <w:bottom w:val="single" w:sz="4" w:space="0" w:color="979991"/>
              <w:right w:val="nil"/>
            </w:tcBorders>
            <w:shd w:val="clear" w:color="000000" w:fill="FFFFFF"/>
            <w:hideMark/>
          </w:tcPr>
          <w:p w14:paraId="43D516E5"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185.00</w:t>
            </w:r>
          </w:p>
        </w:tc>
        <w:tc>
          <w:tcPr>
            <w:tcW w:w="880" w:type="dxa"/>
            <w:tcBorders>
              <w:top w:val="nil"/>
              <w:left w:val="single" w:sz="4" w:space="0" w:color="979991"/>
              <w:bottom w:val="single" w:sz="4" w:space="0" w:color="979991"/>
              <w:right w:val="nil"/>
            </w:tcBorders>
            <w:shd w:val="clear" w:color="000000" w:fill="FFFFFF"/>
            <w:hideMark/>
          </w:tcPr>
          <w:p w14:paraId="60DC2997"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83.15%</w:t>
            </w:r>
          </w:p>
        </w:tc>
        <w:tc>
          <w:tcPr>
            <w:tcW w:w="700" w:type="dxa"/>
            <w:tcBorders>
              <w:top w:val="nil"/>
              <w:left w:val="single" w:sz="4" w:space="0" w:color="979991"/>
              <w:bottom w:val="single" w:sz="4" w:space="0" w:color="979991"/>
              <w:right w:val="single" w:sz="4" w:space="0" w:color="979991"/>
            </w:tcBorders>
            <w:shd w:val="clear" w:color="000000" w:fill="FFFFFF"/>
            <w:hideMark/>
          </w:tcPr>
          <w:p w14:paraId="793478A4"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16.85%</w:t>
            </w:r>
          </w:p>
        </w:tc>
      </w:tr>
    </w:tbl>
    <w:p w14:paraId="0A1084F2" w14:textId="77777777" w:rsidR="005D7C80" w:rsidRDefault="005D7C80" w:rsidP="00C56143">
      <w:pPr>
        <w:pStyle w:val="Default"/>
        <w:spacing w:after="60"/>
        <w:jc w:val="both"/>
        <w:rPr>
          <w:b/>
          <w:color w:val="000000" w:themeColor="text1"/>
        </w:rPr>
      </w:pPr>
    </w:p>
    <w:p w14:paraId="6B7486A7" w14:textId="77777777" w:rsidR="006839A4" w:rsidRDefault="006839A4" w:rsidP="00C56143">
      <w:pPr>
        <w:pStyle w:val="Default"/>
        <w:spacing w:after="60"/>
        <w:jc w:val="both"/>
        <w:rPr>
          <w:b/>
          <w:color w:val="000000" w:themeColor="text1"/>
        </w:rPr>
      </w:pPr>
    </w:p>
    <w:p w14:paraId="0BE85794" w14:textId="77777777" w:rsidR="006839A4" w:rsidRDefault="006839A4" w:rsidP="00C56143">
      <w:pPr>
        <w:pStyle w:val="Default"/>
        <w:spacing w:after="60"/>
        <w:jc w:val="both"/>
        <w:rPr>
          <w:b/>
          <w:color w:val="000000" w:themeColor="text1"/>
        </w:rPr>
      </w:pPr>
    </w:p>
    <w:p w14:paraId="2CE0E3EB" w14:textId="090A0C33" w:rsidR="00C56143" w:rsidRDefault="00C56143" w:rsidP="00C56143">
      <w:pPr>
        <w:pStyle w:val="Default"/>
        <w:spacing w:after="60"/>
        <w:jc w:val="both"/>
        <w:rPr>
          <w:b/>
          <w:color w:val="000000" w:themeColor="text1"/>
        </w:rPr>
      </w:pPr>
      <w:r>
        <w:rPr>
          <w:b/>
          <w:color w:val="000000" w:themeColor="text1"/>
        </w:rPr>
        <w:t xml:space="preserve">Medical and Dental Employees </w:t>
      </w:r>
    </w:p>
    <w:p w14:paraId="6B452D9A" w14:textId="24804617" w:rsidR="00C56143" w:rsidRPr="003B0FC5" w:rsidRDefault="00D47C22" w:rsidP="00DE46E7">
      <w:pPr>
        <w:pStyle w:val="Default"/>
        <w:rPr>
          <w:color w:val="000000" w:themeColor="text1"/>
          <w:sz w:val="22"/>
          <w:szCs w:val="22"/>
        </w:rPr>
      </w:pPr>
      <w:r w:rsidRPr="003B0FC5">
        <w:rPr>
          <w:color w:val="000000" w:themeColor="text1"/>
          <w:sz w:val="22"/>
          <w:szCs w:val="22"/>
        </w:rPr>
        <w:t>2021</w:t>
      </w:r>
    </w:p>
    <w:tbl>
      <w:tblPr>
        <w:tblW w:w="6780" w:type="dxa"/>
        <w:tblLook w:val="04A0" w:firstRow="1" w:lastRow="0" w:firstColumn="1" w:lastColumn="0" w:noHBand="0" w:noVBand="1"/>
      </w:tblPr>
      <w:tblGrid>
        <w:gridCol w:w="3630"/>
        <w:gridCol w:w="739"/>
        <w:gridCol w:w="758"/>
        <w:gridCol w:w="876"/>
        <w:gridCol w:w="777"/>
      </w:tblGrid>
      <w:tr w:rsidR="003B0FC5" w:rsidRPr="003B0FC5" w14:paraId="5560CBD4" w14:textId="77777777" w:rsidTr="005D7C80">
        <w:trPr>
          <w:trHeight w:val="288"/>
        </w:trPr>
        <w:tc>
          <w:tcPr>
            <w:tcW w:w="3700" w:type="dxa"/>
            <w:tcBorders>
              <w:top w:val="single" w:sz="4" w:space="0" w:color="979991"/>
              <w:left w:val="single" w:sz="4" w:space="0" w:color="979991"/>
              <w:bottom w:val="nil"/>
              <w:right w:val="nil"/>
            </w:tcBorders>
            <w:shd w:val="clear" w:color="000000" w:fill="0066CC"/>
            <w:hideMark/>
          </w:tcPr>
          <w:p w14:paraId="0269943F"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Quartile</w:t>
            </w:r>
          </w:p>
        </w:tc>
        <w:tc>
          <w:tcPr>
            <w:tcW w:w="740" w:type="dxa"/>
            <w:tcBorders>
              <w:top w:val="single" w:sz="4" w:space="0" w:color="979991"/>
              <w:left w:val="single" w:sz="4" w:space="0" w:color="979991"/>
              <w:bottom w:val="single" w:sz="4" w:space="0" w:color="979991"/>
              <w:right w:val="nil"/>
            </w:tcBorders>
            <w:shd w:val="clear" w:color="000000" w:fill="0066CC"/>
            <w:hideMark/>
          </w:tcPr>
          <w:p w14:paraId="2768DEA0"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Female</w:t>
            </w:r>
          </w:p>
        </w:tc>
        <w:tc>
          <w:tcPr>
            <w:tcW w:w="760" w:type="dxa"/>
            <w:tcBorders>
              <w:top w:val="single" w:sz="4" w:space="0" w:color="979991"/>
              <w:left w:val="single" w:sz="4" w:space="0" w:color="979991"/>
              <w:bottom w:val="single" w:sz="4" w:space="0" w:color="979991"/>
              <w:right w:val="nil"/>
            </w:tcBorders>
            <w:shd w:val="clear" w:color="000000" w:fill="0066CC"/>
            <w:hideMark/>
          </w:tcPr>
          <w:p w14:paraId="7D315A45"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Male</w:t>
            </w:r>
          </w:p>
        </w:tc>
        <w:tc>
          <w:tcPr>
            <w:tcW w:w="880" w:type="dxa"/>
            <w:tcBorders>
              <w:top w:val="single" w:sz="4" w:space="0" w:color="979991"/>
              <w:left w:val="single" w:sz="4" w:space="0" w:color="979991"/>
              <w:bottom w:val="single" w:sz="4" w:space="0" w:color="979991"/>
              <w:right w:val="nil"/>
            </w:tcBorders>
            <w:shd w:val="clear" w:color="000000" w:fill="0066CC"/>
            <w:hideMark/>
          </w:tcPr>
          <w:p w14:paraId="6960F81C"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Female %</w:t>
            </w:r>
          </w:p>
        </w:tc>
        <w:tc>
          <w:tcPr>
            <w:tcW w:w="700" w:type="dxa"/>
            <w:tcBorders>
              <w:top w:val="single" w:sz="4" w:space="0" w:color="979991"/>
              <w:left w:val="single" w:sz="4" w:space="0" w:color="979991"/>
              <w:bottom w:val="single" w:sz="4" w:space="0" w:color="979991"/>
              <w:right w:val="single" w:sz="4" w:space="0" w:color="979991"/>
            </w:tcBorders>
            <w:shd w:val="clear" w:color="000000" w:fill="0066CC"/>
            <w:hideMark/>
          </w:tcPr>
          <w:p w14:paraId="481B2B81" w14:textId="77777777" w:rsidR="005D7C80" w:rsidRPr="003B0FC5" w:rsidRDefault="005D7C80" w:rsidP="005D7C80">
            <w:pPr>
              <w:spacing w:after="0" w:line="240" w:lineRule="auto"/>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Male %</w:t>
            </w:r>
          </w:p>
        </w:tc>
      </w:tr>
      <w:tr w:rsidR="003B0FC5" w:rsidRPr="003B0FC5" w14:paraId="72E69AF6" w14:textId="77777777" w:rsidTr="005D7C80">
        <w:trPr>
          <w:trHeight w:val="288"/>
        </w:trPr>
        <w:tc>
          <w:tcPr>
            <w:tcW w:w="3700" w:type="dxa"/>
            <w:tcBorders>
              <w:top w:val="single" w:sz="4" w:space="0" w:color="979991"/>
              <w:left w:val="single" w:sz="4" w:space="0" w:color="979991"/>
              <w:bottom w:val="single" w:sz="4" w:space="0" w:color="979991"/>
              <w:right w:val="nil"/>
            </w:tcBorders>
            <w:shd w:val="clear" w:color="000000" w:fill="0066CC"/>
            <w:hideMark/>
          </w:tcPr>
          <w:p w14:paraId="7D78674B"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1</w:t>
            </w:r>
          </w:p>
        </w:tc>
        <w:tc>
          <w:tcPr>
            <w:tcW w:w="740" w:type="dxa"/>
            <w:tcBorders>
              <w:top w:val="nil"/>
              <w:left w:val="single" w:sz="4" w:space="0" w:color="979991"/>
              <w:bottom w:val="single" w:sz="4" w:space="0" w:color="979991"/>
              <w:right w:val="nil"/>
            </w:tcBorders>
            <w:shd w:val="clear" w:color="000000" w:fill="FFFFFF"/>
            <w:hideMark/>
          </w:tcPr>
          <w:p w14:paraId="0F1F9BF0"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0.00</w:t>
            </w:r>
          </w:p>
        </w:tc>
        <w:tc>
          <w:tcPr>
            <w:tcW w:w="760" w:type="dxa"/>
            <w:tcBorders>
              <w:top w:val="nil"/>
              <w:left w:val="single" w:sz="4" w:space="0" w:color="979991"/>
              <w:bottom w:val="single" w:sz="4" w:space="0" w:color="979991"/>
              <w:right w:val="nil"/>
            </w:tcBorders>
            <w:shd w:val="clear" w:color="000000" w:fill="FFFFFF"/>
            <w:hideMark/>
          </w:tcPr>
          <w:p w14:paraId="4AAE0B0C"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3.00</w:t>
            </w:r>
          </w:p>
        </w:tc>
        <w:tc>
          <w:tcPr>
            <w:tcW w:w="880" w:type="dxa"/>
            <w:tcBorders>
              <w:top w:val="nil"/>
              <w:left w:val="single" w:sz="4" w:space="0" w:color="979991"/>
              <w:bottom w:val="single" w:sz="4" w:space="0" w:color="979991"/>
              <w:right w:val="nil"/>
            </w:tcBorders>
            <w:shd w:val="clear" w:color="000000" w:fill="FFFFFF"/>
            <w:hideMark/>
          </w:tcPr>
          <w:p w14:paraId="11EAA26E"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0.00%</w:t>
            </w:r>
          </w:p>
        </w:tc>
        <w:tc>
          <w:tcPr>
            <w:tcW w:w="700" w:type="dxa"/>
            <w:tcBorders>
              <w:top w:val="nil"/>
              <w:left w:val="single" w:sz="4" w:space="0" w:color="979991"/>
              <w:bottom w:val="single" w:sz="4" w:space="0" w:color="979991"/>
              <w:right w:val="single" w:sz="4" w:space="0" w:color="979991"/>
            </w:tcBorders>
            <w:shd w:val="clear" w:color="000000" w:fill="FFFFFF"/>
            <w:hideMark/>
          </w:tcPr>
          <w:p w14:paraId="71660BFB"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100.00%</w:t>
            </w:r>
          </w:p>
        </w:tc>
      </w:tr>
      <w:tr w:rsidR="003B0FC5" w:rsidRPr="003B0FC5" w14:paraId="4AEE5259"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13D3B619"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2</w:t>
            </w:r>
          </w:p>
        </w:tc>
        <w:tc>
          <w:tcPr>
            <w:tcW w:w="740" w:type="dxa"/>
            <w:tcBorders>
              <w:top w:val="nil"/>
              <w:left w:val="single" w:sz="4" w:space="0" w:color="979991"/>
              <w:bottom w:val="single" w:sz="4" w:space="0" w:color="979991"/>
              <w:right w:val="nil"/>
            </w:tcBorders>
            <w:shd w:val="clear" w:color="000000" w:fill="FFFFFF"/>
            <w:hideMark/>
          </w:tcPr>
          <w:p w14:paraId="3BFD91C2"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2.00</w:t>
            </w:r>
          </w:p>
        </w:tc>
        <w:tc>
          <w:tcPr>
            <w:tcW w:w="760" w:type="dxa"/>
            <w:tcBorders>
              <w:top w:val="nil"/>
              <w:left w:val="single" w:sz="4" w:space="0" w:color="979991"/>
              <w:bottom w:val="single" w:sz="4" w:space="0" w:color="979991"/>
              <w:right w:val="nil"/>
            </w:tcBorders>
            <w:shd w:val="clear" w:color="000000" w:fill="FFFFFF"/>
            <w:hideMark/>
          </w:tcPr>
          <w:p w14:paraId="09CD8D8E"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1.00</w:t>
            </w:r>
          </w:p>
        </w:tc>
        <w:tc>
          <w:tcPr>
            <w:tcW w:w="880" w:type="dxa"/>
            <w:tcBorders>
              <w:top w:val="nil"/>
              <w:left w:val="single" w:sz="4" w:space="0" w:color="979991"/>
              <w:bottom w:val="single" w:sz="4" w:space="0" w:color="979991"/>
              <w:right w:val="nil"/>
            </w:tcBorders>
            <w:shd w:val="clear" w:color="000000" w:fill="FFFFFF"/>
            <w:hideMark/>
          </w:tcPr>
          <w:p w14:paraId="2DBC3E67"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66.67%</w:t>
            </w:r>
          </w:p>
        </w:tc>
        <w:tc>
          <w:tcPr>
            <w:tcW w:w="700" w:type="dxa"/>
            <w:tcBorders>
              <w:top w:val="nil"/>
              <w:left w:val="single" w:sz="4" w:space="0" w:color="979991"/>
              <w:bottom w:val="single" w:sz="4" w:space="0" w:color="979991"/>
              <w:right w:val="single" w:sz="4" w:space="0" w:color="979991"/>
            </w:tcBorders>
            <w:shd w:val="clear" w:color="000000" w:fill="FFFFFF"/>
            <w:hideMark/>
          </w:tcPr>
          <w:p w14:paraId="29B2C9A4"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33.33%</w:t>
            </w:r>
          </w:p>
        </w:tc>
      </w:tr>
      <w:tr w:rsidR="003B0FC5" w:rsidRPr="003B0FC5" w14:paraId="28F8E297"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33D9FBE5"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3</w:t>
            </w:r>
          </w:p>
        </w:tc>
        <w:tc>
          <w:tcPr>
            <w:tcW w:w="740" w:type="dxa"/>
            <w:tcBorders>
              <w:top w:val="nil"/>
              <w:left w:val="single" w:sz="4" w:space="0" w:color="979991"/>
              <w:bottom w:val="single" w:sz="4" w:space="0" w:color="979991"/>
              <w:right w:val="nil"/>
            </w:tcBorders>
            <w:shd w:val="clear" w:color="000000" w:fill="FFFFFF"/>
            <w:hideMark/>
          </w:tcPr>
          <w:p w14:paraId="4CA158AE"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31.00</w:t>
            </w:r>
          </w:p>
        </w:tc>
        <w:tc>
          <w:tcPr>
            <w:tcW w:w="760" w:type="dxa"/>
            <w:tcBorders>
              <w:top w:val="nil"/>
              <w:left w:val="single" w:sz="4" w:space="0" w:color="979991"/>
              <w:bottom w:val="single" w:sz="4" w:space="0" w:color="979991"/>
              <w:right w:val="nil"/>
            </w:tcBorders>
            <w:shd w:val="clear" w:color="000000" w:fill="FFFFFF"/>
            <w:hideMark/>
          </w:tcPr>
          <w:p w14:paraId="64D3F8E7"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26.00</w:t>
            </w:r>
          </w:p>
        </w:tc>
        <w:tc>
          <w:tcPr>
            <w:tcW w:w="880" w:type="dxa"/>
            <w:tcBorders>
              <w:top w:val="nil"/>
              <w:left w:val="single" w:sz="4" w:space="0" w:color="979991"/>
              <w:bottom w:val="single" w:sz="4" w:space="0" w:color="979991"/>
              <w:right w:val="nil"/>
            </w:tcBorders>
            <w:shd w:val="clear" w:color="000000" w:fill="FFFFFF"/>
            <w:hideMark/>
          </w:tcPr>
          <w:p w14:paraId="3300B320"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54.39%</w:t>
            </w:r>
          </w:p>
        </w:tc>
        <w:tc>
          <w:tcPr>
            <w:tcW w:w="700" w:type="dxa"/>
            <w:tcBorders>
              <w:top w:val="nil"/>
              <w:left w:val="single" w:sz="4" w:space="0" w:color="979991"/>
              <w:bottom w:val="single" w:sz="4" w:space="0" w:color="979991"/>
              <w:right w:val="single" w:sz="4" w:space="0" w:color="979991"/>
            </w:tcBorders>
            <w:shd w:val="clear" w:color="000000" w:fill="FFFFFF"/>
            <w:hideMark/>
          </w:tcPr>
          <w:p w14:paraId="3CE49A1B"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45.61%</w:t>
            </w:r>
          </w:p>
        </w:tc>
      </w:tr>
      <w:tr w:rsidR="003B0FC5" w:rsidRPr="003B0FC5" w14:paraId="61BC9DF3"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6F197A18" w14:textId="77777777" w:rsidR="005D7C80" w:rsidRPr="003B0FC5"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3B0FC5">
              <w:rPr>
                <w:rFonts w:ascii="Calibri" w:eastAsia="Times New Roman" w:hAnsi="Calibri" w:cs="Calibri"/>
                <w:b/>
                <w:bCs/>
                <w:color w:val="000000" w:themeColor="text1"/>
                <w:sz w:val="16"/>
                <w:szCs w:val="16"/>
                <w:lang w:eastAsia="en-GB"/>
              </w:rPr>
              <w:t>4</w:t>
            </w:r>
          </w:p>
        </w:tc>
        <w:tc>
          <w:tcPr>
            <w:tcW w:w="740" w:type="dxa"/>
            <w:tcBorders>
              <w:top w:val="nil"/>
              <w:left w:val="single" w:sz="4" w:space="0" w:color="979991"/>
              <w:bottom w:val="single" w:sz="4" w:space="0" w:color="979991"/>
              <w:right w:val="nil"/>
            </w:tcBorders>
            <w:shd w:val="clear" w:color="000000" w:fill="FFFFFF"/>
            <w:hideMark/>
          </w:tcPr>
          <w:p w14:paraId="3F6DD03F"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178.00</w:t>
            </w:r>
          </w:p>
        </w:tc>
        <w:tc>
          <w:tcPr>
            <w:tcW w:w="760" w:type="dxa"/>
            <w:tcBorders>
              <w:top w:val="nil"/>
              <w:left w:val="single" w:sz="4" w:space="0" w:color="979991"/>
              <w:bottom w:val="single" w:sz="4" w:space="0" w:color="979991"/>
              <w:right w:val="nil"/>
            </w:tcBorders>
            <w:shd w:val="clear" w:color="000000" w:fill="FFFFFF"/>
            <w:hideMark/>
          </w:tcPr>
          <w:p w14:paraId="72DADF85"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355.00</w:t>
            </w:r>
          </w:p>
        </w:tc>
        <w:tc>
          <w:tcPr>
            <w:tcW w:w="880" w:type="dxa"/>
            <w:tcBorders>
              <w:top w:val="nil"/>
              <w:left w:val="single" w:sz="4" w:space="0" w:color="979991"/>
              <w:bottom w:val="single" w:sz="4" w:space="0" w:color="979991"/>
              <w:right w:val="nil"/>
            </w:tcBorders>
            <w:shd w:val="clear" w:color="000000" w:fill="FFFFFF"/>
            <w:hideMark/>
          </w:tcPr>
          <w:p w14:paraId="51BDDAF7"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33.40%</w:t>
            </w:r>
          </w:p>
        </w:tc>
        <w:tc>
          <w:tcPr>
            <w:tcW w:w="700" w:type="dxa"/>
            <w:tcBorders>
              <w:top w:val="nil"/>
              <w:left w:val="single" w:sz="4" w:space="0" w:color="979991"/>
              <w:bottom w:val="single" w:sz="4" w:space="0" w:color="979991"/>
              <w:right w:val="single" w:sz="4" w:space="0" w:color="979991"/>
            </w:tcBorders>
            <w:shd w:val="clear" w:color="000000" w:fill="FFFFFF"/>
            <w:hideMark/>
          </w:tcPr>
          <w:p w14:paraId="7B861410" w14:textId="77777777" w:rsidR="005D7C80" w:rsidRPr="003B0FC5" w:rsidRDefault="005D7C80" w:rsidP="005D7C80">
            <w:pPr>
              <w:spacing w:after="0" w:line="240" w:lineRule="auto"/>
              <w:jc w:val="right"/>
              <w:rPr>
                <w:rFonts w:ascii="Calibri" w:eastAsia="Times New Roman" w:hAnsi="Calibri" w:cs="Calibri"/>
                <w:color w:val="000000" w:themeColor="text1"/>
                <w:sz w:val="16"/>
                <w:szCs w:val="16"/>
                <w:lang w:eastAsia="en-GB"/>
              </w:rPr>
            </w:pPr>
            <w:r w:rsidRPr="003B0FC5">
              <w:rPr>
                <w:rFonts w:ascii="Calibri" w:eastAsia="Times New Roman" w:hAnsi="Calibri" w:cs="Calibri"/>
                <w:color w:val="000000" w:themeColor="text1"/>
                <w:sz w:val="16"/>
                <w:szCs w:val="16"/>
                <w:lang w:eastAsia="en-GB"/>
              </w:rPr>
              <w:t>66.60%</w:t>
            </w:r>
          </w:p>
        </w:tc>
      </w:tr>
    </w:tbl>
    <w:p w14:paraId="2C1A5151" w14:textId="08AE6A32" w:rsidR="00C56143" w:rsidRDefault="00C56143" w:rsidP="00DE46E7">
      <w:pPr>
        <w:pStyle w:val="Default"/>
        <w:rPr>
          <w:sz w:val="22"/>
          <w:szCs w:val="22"/>
        </w:rPr>
      </w:pPr>
    </w:p>
    <w:p w14:paraId="262CA482" w14:textId="502EC7D5" w:rsidR="00C56143" w:rsidRPr="009A4E82" w:rsidRDefault="00C56143" w:rsidP="00DE46E7">
      <w:pPr>
        <w:pStyle w:val="Default"/>
        <w:rPr>
          <w:b/>
          <w:bCs/>
          <w:sz w:val="28"/>
          <w:szCs w:val="28"/>
        </w:rPr>
      </w:pPr>
      <w:r w:rsidRPr="009A4E82">
        <w:rPr>
          <w:b/>
          <w:bCs/>
          <w:sz w:val="28"/>
          <w:szCs w:val="28"/>
        </w:rPr>
        <w:t xml:space="preserve">Consultants </w:t>
      </w:r>
    </w:p>
    <w:p w14:paraId="0C970DEB" w14:textId="7D2BB1CD" w:rsidR="00C3143A" w:rsidRPr="009A4E82" w:rsidRDefault="00C3143A" w:rsidP="00DE46E7">
      <w:pPr>
        <w:pStyle w:val="Default"/>
        <w:rPr>
          <w:color w:val="000000" w:themeColor="text1"/>
          <w:sz w:val="22"/>
          <w:szCs w:val="22"/>
        </w:rPr>
      </w:pPr>
      <w:r w:rsidRPr="009A4E82">
        <w:rPr>
          <w:color w:val="000000" w:themeColor="text1"/>
          <w:sz w:val="22"/>
          <w:szCs w:val="22"/>
        </w:rPr>
        <w:t>The table below reflects that a</w:t>
      </w:r>
      <w:r w:rsidR="00A809F5" w:rsidRPr="009A4E82">
        <w:rPr>
          <w:color w:val="000000" w:themeColor="text1"/>
          <w:sz w:val="22"/>
          <w:szCs w:val="22"/>
        </w:rPr>
        <w:t>s of 31st</w:t>
      </w:r>
      <w:r w:rsidR="00741534" w:rsidRPr="009A4E82">
        <w:rPr>
          <w:color w:val="000000" w:themeColor="text1"/>
          <w:sz w:val="22"/>
          <w:szCs w:val="22"/>
        </w:rPr>
        <w:t xml:space="preserve"> March 2021</w:t>
      </w:r>
      <w:r w:rsidR="00A809F5" w:rsidRPr="009A4E82">
        <w:rPr>
          <w:color w:val="000000" w:themeColor="text1"/>
          <w:sz w:val="22"/>
          <w:szCs w:val="22"/>
        </w:rPr>
        <w:t xml:space="preserve"> </w:t>
      </w:r>
      <w:r w:rsidR="001D73B7" w:rsidRPr="009A4E82">
        <w:rPr>
          <w:color w:val="000000" w:themeColor="text1"/>
          <w:sz w:val="22"/>
          <w:szCs w:val="22"/>
        </w:rPr>
        <w:t xml:space="preserve">the Trust </w:t>
      </w:r>
      <w:r w:rsidR="009D4EE9" w:rsidRPr="009A4E82">
        <w:rPr>
          <w:color w:val="000000" w:themeColor="text1"/>
          <w:sz w:val="22"/>
          <w:szCs w:val="22"/>
        </w:rPr>
        <w:t>employ</w:t>
      </w:r>
      <w:r w:rsidR="001D73B7" w:rsidRPr="009A4E82">
        <w:rPr>
          <w:color w:val="000000" w:themeColor="text1"/>
          <w:sz w:val="22"/>
          <w:szCs w:val="22"/>
        </w:rPr>
        <w:t>s</w:t>
      </w:r>
      <w:r w:rsidR="009D4EE9" w:rsidRPr="009A4E82">
        <w:rPr>
          <w:color w:val="000000" w:themeColor="text1"/>
          <w:sz w:val="22"/>
          <w:szCs w:val="22"/>
        </w:rPr>
        <w:t xml:space="preserve"> </w:t>
      </w:r>
      <w:r w:rsidR="00EE6DD2" w:rsidRPr="009A4E82">
        <w:rPr>
          <w:color w:val="000000" w:themeColor="text1"/>
          <w:sz w:val="22"/>
          <w:szCs w:val="22"/>
        </w:rPr>
        <w:t>261</w:t>
      </w:r>
      <w:r w:rsidR="009D4EE9" w:rsidRPr="009A4E82">
        <w:rPr>
          <w:color w:val="000000" w:themeColor="text1"/>
          <w:sz w:val="22"/>
          <w:szCs w:val="22"/>
        </w:rPr>
        <w:t xml:space="preserve"> consultants </w:t>
      </w:r>
      <w:r w:rsidR="00A809F5" w:rsidRPr="009A4E82">
        <w:rPr>
          <w:color w:val="000000" w:themeColor="text1"/>
          <w:sz w:val="22"/>
          <w:szCs w:val="22"/>
        </w:rPr>
        <w:t xml:space="preserve">of which </w:t>
      </w:r>
      <w:r w:rsidRPr="009A4E82">
        <w:rPr>
          <w:color w:val="000000" w:themeColor="text1"/>
          <w:sz w:val="22"/>
          <w:szCs w:val="22"/>
        </w:rPr>
        <w:t xml:space="preserve">26% (69) are female </w:t>
      </w:r>
      <w:r w:rsidR="00A809F5" w:rsidRPr="009A4E82">
        <w:rPr>
          <w:color w:val="000000" w:themeColor="text1"/>
          <w:sz w:val="22"/>
          <w:szCs w:val="22"/>
        </w:rPr>
        <w:t xml:space="preserve">and </w:t>
      </w:r>
      <w:r w:rsidRPr="009A4E82">
        <w:rPr>
          <w:color w:val="000000" w:themeColor="text1"/>
          <w:sz w:val="22"/>
          <w:szCs w:val="22"/>
        </w:rPr>
        <w:t xml:space="preserve">74% </w:t>
      </w:r>
      <w:r w:rsidR="00CC37EB" w:rsidRPr="009A4E82">
        <w:rPr>
          <w:color w:val="000000" w:themeColor="text1"/>
          <w:sz w:val="22"/>
          <w:szCs w:val="22"/>
        </w:rPr>
        <w:t>(192</w:t>
      </w:r>
      <w:r w:rsidRPr="009A4E82">
        <w:rPr>
          <w:color w:val="000000" w:themeColor="text1"/>
          <w:sz w:val="22"/>
          <w:szCs w:val="22"/>
        </w:rPr>
        <w:t xml:space="preserve">) are male. </w:t>
      </w:r>
    </w:p>
    <w:p w14:paraId="7572870D" w14:textId="75FE7760" w:rsidR="00D47C22" w:rsidRPr="009A4E82" w:rsidRDefault="00D47C22" w:rsidP="00DE46E7">
      <w:pPr>
        <w:pStyle w:val="Default"/>
        <w:rPr>
          <w:color w:val="000000" w:themeColor="text1"/>
          <w:sz w:val="22"/>
          <w:szCs w:val="22"/>
        </w:rPr>
      </w:pPr>
    </w:p>
    <w:p w14:paraId="27AA93A9" w14:textId="7CA23259" w:rsidR="005D7C80" w:rsidRPr="009A4E82" w:rsidRDefault="00D47C22" w:rsidP="004B595F">
      <w:pPr>
        <w:pStyle w:val="Default"/>
        <w:jc w:val="both"/>
        <w:rPr>
          <w:color w:val="000000" w:themeColor="text1"/>
          <w:sz w:val="22"/>
          <w:szCs w:val="22"/>
        </w:rPr>
      </w:pPr>
      <w:r w:rsidRPr="009A4E82">
        <w:rPr>
          <w:color w:val="000000" w:themeColor="text1"/>
          <w:sz w:val="22"/>
          <w:szCs w:val="22"/>
        </w:rPr>
        <w:t>2021</w:t>
      </w:r>
    </w:p>
    <w:tbl>
      <w:tblPr>
        <w:tblW w:w="7020" w:type="dxa"/>
        <w:tblLook w:val="04A0" w:firstRow="1" w:lastRow="0" w:firstColumn="1" w:lastColumn="0" w:noHBand="0" w:noVBand="1"/>
      </w:tblPr>
      <w:tblGrid>
        <w:gridCol w:w="3700"/>
        <w:gridCol w:w="980"/>
        <w:gridCol w:w="760"/>
        <w:gridCol w:w="880"/>
        <w:gridCol w:w="700"/>
      </w:tblGrid>
      <w:tr w:rsidR="009A4E82" w:rsidRPr="009A4E82" w14:paraId="039A0E74" w14:textId="77777777" w:rsidTr="005D7C80">
        <w:trPr>
          <w:trHeight w:val="288"/>
        </w:trPr>
        <w:tc>
          <w:tcPr>
            <w:tcW w:w="3700" w:type="dxa"/>
            <w:tcBorders>
              <w:top w:val="single" w:sz="4" w:space="0" w:color="979991"/>
              <w:left w:val="single" w:sz="4" w:space="0" w:color="979991"/>
              <w:bottom w:val="nil"/>
              <w:right w:val="nil"/>
            </w:tcBorders>
            <w:shd w:val="clear" w:color="000000" w:fill="0066CC"/>
            <w:hideMark/>
          </w:tcPr>
          <w:p w14:paraId="30CFA94C" w14:textId="77777777" w:rsidR="005D7C80" w:rsidRPr="009A4E82" w:rsidRDefault="005D7C80" w:rsidP="005D7C80">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Quartile</w:t>
            </w:r>
          </w:p>
        </w:tc>
        <w:tc>
          <w:tcPr>
            <w:tcW w:w="980" w:type="dxa"/>
            <w:tcBorders>
              <w:top w:val="single" w:sz="4" w:space="0" w:color="979991"/>
              <w:left w:val="single" w:sz="4" w:space="0" w:color="979991"/>
              <w:bottom w:val="single" w:sz="4" w:space="0" w:color="979991"/>
              <w:right w:val="nil"/>
            </w:tcBorders>
            <w:shd w:val="clear" w:color="000000" w:fill="0066CC"/>
            <w:hideMark/>
          </w:tcPr>
          <w:p w14:paraId="299E97A9" w14:textId="77777777" w:rsidR="005D7C80" w:rsidRPr="009A4E82" w:rsidRDefault="005D7C80" w:rsidP="005D7C80">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Female</w:t>
            </w:r>
          </w:p>
        </w:tc>
        <w:tc>
          <w:tcPr>
            <w:tcW w:w="760" w:type="dxa"/>
            <w:tcBorders>
              <w:top w:val="single" w:sz="4" w:space="0" w:color="979991"/>
              <w:left w:val="single" w:sz="4" w:space="0" w:color="979991"/>
              <w:bottom w:val="single" w:sz="4" w:space="0" w:color="979991"/>
              <w:right w:val="nil"/>
            </w:tcBorders>
            <w:shd w:val="clear" w:color="000000" w:fill="0066CC"/>
            <w:hideMark/>
          </w:tcPr>
          <w:p w14:paraId="442CFA12" w14:textId="77777777" w:rsidR="005D7C80" w:rsidRPr="009A4E82" w:rsidRDefault="005D7C80" w:rsidP="005D7C80">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Male</w:t>
            </w:r>
          </w:p>
        </w:tc>
        <w:tc>
          <w:tcPr>
            <w:tcW w:w="880" w:type="dxa"/>
            <w:tcBorders>
              <w:top w:val="single" w:sz="4" w:space="0" w:color="979991"/>
              <w:left w:val="single" w:sz="4" w:space="0" w:color="979991"/>
              <w:bottom w:val="single" w:sz="4" w:space="0" w:color="979991"/>
              <w:right w:val="nil"/>
            </w:tcBorders>
            <w:shd w:val="clear" w:color="000000" w:fill="0066CC"/>
            <w:hideMark/>
          </w:tcPr>
          <w:p w14:paraId="0C826FEA" w14:textId="77777777" w:rsidR="005D7C80" w:rsidRPr="009A4E82" w:rsidRDefault="005D7C80" w:rsidP="005D7C80">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Female %</w:t>
            </w:r>
          </w:p>
        </w:tc>
        <w:tc>
          <w:tcPr>
            <w:tcW w:w="700" w:type="dxa"/>
            <w:tcBorders>
              <w:top w:val="single" w:sz="4" w:space="0" w:color="979991"/>
              <w:left w:val="single" w:sz="4" w:space="0" w:color="979991"/>
              <w:bottom w:val="single" w:sz="4" w:space="0" w:color="979991"/>
              <w:right w:val="single" w:sz="4" w:space="0" w:color="979991"/>
            </w:tcBorders>
            <w:shd w:val="clear" w:color="000000" w:fill="0066CC"/>
            <w:hideMark/>
          </w:tcPr>
          <w:p w14:paraId="030C22A7" w14:textId="77777777" w:rsidR="005D7C80" w:rsidRPr="009A4E82" w:rsidRDefault="005D7C80" w:rsidP="005D7C80">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Male %</w:t>
            </w:r>
          </w:p>
        </w:tc>
      </w:tr>
      <w:tr w:rsidR="009A4E82" w:rsidRPr="009A4E82" w14:paraId="2E64FB4C" w14:textId="77777777" w:rsidTr="005D7C80">
        <w:trPr>
          <w:trHeight w:val="288"/>
        </w:trPr>
        <w:tc>
          <w:tcPr>
            <w:tcW w:w="3700" w:type="dxa"/>
            <w:tcBorders>
              <w:top w:val="single" w:sz="4" w:space="0" w:color="979991"/>
              <w:left w:val="single" w:sz="4" w:space="0" w:color="979991"/>
              <w:bottom w:val="single" w:sz="4" w:space="0" w:color="979991"/>
              <w:right w:val="nil"/>
            </w:tcBorders>
            <w:shd w:val="clear" w:color="000000" w:fill="0066CC"/>
            <w:hideMark/>
          </w:tcPr>
          <w:p w14:paraId="48292AF2" w14:textId="77777777" w:rsidR="005D7C80" w:rsidRPr="009A4E82"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1</w:t>
            </w:r>
          </w:p>
        </w:tc>
        <w:tc>
          <w:tcPr>
            <w:tcW w:w="980" w:type="dxa"/>
            <w:tcBorders>
              <w:top w:val="nil"/>
              <w:left w:val="single" w:sz="4" w:space="0" w:color="979991"/>
              <w:bottom w:val="single" w:sz="4" w:space="0" w:color="979991"/>
              <w:right w:val="nil"/>
            </w:tcBorders>
            <w:shd w:val="clear" w:color="000000" w:fill="FFFFFF"/>
            <w:hideMark/>
          </w:tcPr>
          <w:p w14:paraId="6E61563A"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760" w:type="dxa"/>
            <w:tcBorders>
              <w:top w:val="nil"/>
              <w:left w:val="single" w:sz="4" w:space="0" w:color="979991"/>
              <w:bottom w:val="single" w:sz="4" w:space="0" w:color="979991"/>
              <w:right w:val="nil"/>
            </w:tcBorders>
            <w:shd w:val="clear" w:color="000000" w:fill="FFFFFF"/>
            <w:hideMark/>
          </w:tcPr>
          <w:p w14:paraId="2735D533"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880" w:type="dxa"/>
            <w:tcBorders>
              <w:top w:val="nil"/>
              <w:left w:val="single" w:sz="4" w:space="0" w:color="979991"/>
              <w:bottom w:val="single" w:sz="4" w:space="0" w:color="979991"/>
              <w:right w:val="nil"/>
            </w:tcBorders>
            <w:shd w:val="clear" w:color="000000" w:fill="FFFFFF"/>
            <w:hideMark/>
          </w:tcPr>
          <w:p w14:paraId="5740CF2E"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700" w:type="dxa"/>
            <w:tcBorders>
              <w:top w:val="nil"/>
              <w:left w:val="single" w:sz="4" w:space="0" w:color="979991"/>
              <w:bottom w:val="single" w:sz="4" w:space="0" w:color="979991"/>
              <w:right w:val="single" w:sz="4" w:space="0" w:color="979991"/>
            </w:tcBorders>
            <w:shd w:val="clear" w:color="000000" w:fill="FFFFFF"/>
            <w:hideMark/>
          </w:tcPr>
          <w:p w14:paraId="6C5906C1"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r>
      <w:tr w:rsidR="009A4E82" w:rsidRPr="009A4E82" w14:paraId="4E00ED1E"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73095CB6" w14:textId="77777777" w:rsidR="005D7C80" w:rsidRPr="009A4E82"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2</w:t>
            </w:r>
          </w:p>
        </w:tc>
        <w:tc>
          <w:tcPr>
            <w:tcW w:w="980" w:type="dxa"/>
            <w:tcBorders>
              <w:top w:val="nil"/>
              <w:left w:val="single" w:sz="4" w:space="0" w:color="979991"/>
              <w:bottom w:val="single" w:sz="4" w:space="0" w:color="979991"/>
              <w:right w:val="nil"/>
            </w:tcBorders>
            <w:shd w:val="clear" w:color="000000" w:fill="FFFFFF"/>
            <w:hideMark/>
          </w:tcPr>
          <w:p w14:paraId="4936A49B"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760" w:type="dxa"/>
            <w:tcBorders>
              <w:top w:val="nil"/>
              <w:left w:val="single" w:sz="4" w:space="0" w:color="979991"/>
              <w:bottom w:val="single" w:sz="4" w:space="0" w:color="979991"/>
              <w:right w:val="nil"/>
            </w:tcBorders>
            <w:shd w:val="clear" w:color="000000" w:fill="FFFFFF"/>
            <w:hideMark/>
          </w:tcPr>
          <w:p w14:paraId="5055BD20"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880" w:type="dxa"/>
            <w:tcBorders>
              <w:top w:val="nil"/>
              <w:left w:val="single" w:sz="4" w:space="0" w:color="979991"/>
              <w:bottom w:val="single" w:sz="4" w:space="0" w:color="979991"/>
              <w:right w:val="nil"/>
            </w:tcBorders>
            <w:shd w:val="clear" w:color="000000" w:fill="FFFFFF"/>
            <w:hideMark/>
          </w:tcPr>
          <w:p w14:paraId="04456745"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700" w:type="dxa"/>
            <w:tcBorders>
              <w:top w:val="nil"/>
              <w:left w:val="single" w:sz="4" w:space="0" w:color="979991"/>
              <w:bottom w:val="single" w:sz="4" w:space="0" w:color="979991"/>
              <w:right w:val="single" w:sz="4" w:space="0" w:color="979991"/>
            </w:tcBorders>
            <w:shd w:val="clear" w:color="000000" w:fill="FFFFFF"/>
            <w:hideMark/>
          </w:tcPr>
          <w:p w14:paraId="75977218"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r>
      <w:tr w:rsidR="009A4E82" w:rsidRPr="009A4E82" w14:paraId="4851A458"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14956F0B" w14:textId="77777777" w:rsidR="005D7C80" w:rsidRPr="009A4E82"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3</w:t>
            </w:r>
          </w:p>
        </w:tc>
        <w:tc>
          <w:tcPr>
            <w:tcW w:w="980" w:type="dxa"/>
            <w:tcBorders>
              <w:top w:val="nil"/>
              <w:left w:val="single" w:sz="4" w:space="0" w:color="979991"/>
              <w:bottom w:val="single" w:sz="4" w:space="0" w:color="979991"/>
              <w:right w:val="nil"/>
            </w:tcBorders>
            <w:shd w:val="clear" w:color="000000" w:fill="FFFFFF"/>
            <w:hideMark/>
          </w:tcPr>
          <w:p w14:paraId="43D1B5FD"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760" w:type="dxa"/>
            <w:tcBorders>
              <w:top w:val="nil"/>
              <w:left w:val="single" w:sz="4" w:space="0" w:color="979991"/>
              <w:bottom w:val="single" w:sz="4" w:space="0" w:color="979991"/>
              <w:right w:val="nil"/>
            </w:tcBorders>
            <w:shd w:val="clear" w:color="000000" w:fill="FFFFFF"/>
            <w:hideMark/>
          </w:tcPr>
          <w:p w14:paraId="5F3F7F34"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880" w:type="dxa"/>
            <w:tcBorders>
              <w:top w:val="nil"/>
              <w:left w:val="single" w:sz="4" w:space="0" w:color="979991"/>
              <w:bottom w:val="single" w:sz="4" w:space="0" w:color="979991"/>
              <w:right w:val="nil"/>
            </w:tcBorders>
            <w:shd w:val="clear" w:color="000000" w:fill="FFFFFF"/>
            <w:hideMark/>
          </w:tcPr>
          <w:p w14:paraId="21FFD4FE"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c>
          <w:tcPr>
            <w:tcW w:w="700" w:type="dxa"/>
            <w:tcBorders>
              <w:top w:val="nil"/>
              <w:left w:val="single" w:sz="4" w:space="0" w:color="979991"/>
              <w:bottom w:val="single" w:sz="4" w:space="0" w:color="979991"/>
              <w:right w:val="single" w:sz="4" w:space="0" w:color="979991"/>
            </w:tcBorders>
            <w:shd w:val="clear" w:color="000000" w:fill="FFFFFF"/>
            <w:hideMark/>
          </w:tcPr>
          <w:p w14:paraId="6E9AEBB6"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 </w:t>
            </w:r>
          </w:p>
        </w:tc>
      </w:tr>
      <w:tr w:rsidR="009A4E82" w:rsidRPr="009A4E82" w14:paraId="25103177" w14:textId="77777777" w:rsidTr="005D7C80">
        <w:trPr>
          <w:trHeight w:val="288"/>
        </w:trPr>
        <w:tc>
          <w:tcPr>
            <w:tcW w:w="3700" w:type="dxa"/>
            <w:tcBorders>
              <w:top w:val="nil"/>
              <w:left w:val="single" w:sz="4" w:space="0" w:color="979991"/>
              <w:bottom w:val="single" w:sz="4" w:space="0" w:color="979991"/>
              <w:right w:val="nil"/>
            </w:tcBorders>
            <w:shd w:val="clear" w:color="000000" w:fill="0066CC"/>
            <w:hideMark/>
          </w:tcPr>
          <w:p w14:paraId="7F1AAE4A" w14:textId="77777777" w:rsidR="005D7C80" w:rsidRPr="009A4E82" w:rsidRDefault="005D7C80" w:rsidP="005D7C80">
            <w:pPr>
              <w:spacing w:after="0" w:line="240" w:lineRule="auto"/>
              <w:jc w:val="right"/>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4</w:t>
            </w:r>
          </w:p>
        </w:tc>
        <w:tc>
          <w:tcPr>
            <w:tcW w:w="980" w:type="dxa"/>
            <w:tcBorders>
              <w:top w:val="nil"/>
              <w:left w:val="single" w:sz="4" w:space="0" w:color="979991"/>
              <w:bottom w:val="single" w:sz="4" w:space="0" w:color="979991"/>
              <w:right w:val="nil"/>
            </w:tcBorders>
            <w:shd w:val="clear" w:color="000000" w:fill="FFFFFF"/>
            <w:hideMark/>
          </w:tcPr>
          <w:p w14:paraId="3D9D436B"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69.00</w:t>
            </w:r>
          </w:p>
        </w:tc>
        <w:tc>
          <w:tcPr>
            <w:tcW w:w="760" w:type="dxa"/>
            <w:tcBorders>
              <w:top w:val="nil"/>
              <w:left w:val="single" w:sz="4" w:space="0" w:color="979991"/>
              <w:bottom w:val="single" w:sz="4" w:space="0" w:color="979991"/>
              <w:right w:val="nil"/>
            </w:tcBorders>
            <w:shd w:val="clear" w:color="000000" w:fill="FFFFFF"/>
            <w:hideMark/>
          </w:tcPr>
          <w:p w14:paraId="5530477F"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192.00</w:t>
            </w:r>
          </w:p>
        </w:tc>
        <w:tc>
          <w:tcPr>
            <w:tcW w:w="880" w:type="dxa"/>
            <w:tcBorders>
              <w:top w:val="nil"/>
              <w:left w:val="single" w:sz="4" w:space="0" w:color="979991"/>
              <w:bottom w:val="single" w:sz="4" w:space="0" w:color="979991"/>
              <w:right w:val="nil"/>
            </w:tcBorders>
            <w:shd w:val="clear" w:color="000000" w:fill="FFFFFF"/>
            <w:hideMark/>
          </w:tcPr>
          <w:p w14:paraId="3833B4FE"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26.44%</w:t>
            </w:r>
          </w:p>
        </w:tc>
        <w:tc>
          <w:tcPr>
            <w:tcW w:w="700" w:type="dxa"/>
            <w:tcBorders>
              <w:top w:val="nil"/>
              <w:left w:val="single" w:sz="4" w:space="0" w:color="979991"/>
              <w:bottom w:val="single" w:sz="4" w:space="0" w:color="979991"/>
              <w:right w:val="single" w:sz="4" w:space="0" w:color="979991"/>
            </w:tcBorders>
            <w:shd w:val="clear" w:color="000000" w:fill="FFFFFF"/>
            <w:hideMark/>
          </w:tcPr>
          <w:p w14:paraId="32B356A8" w14:textId="77777777" w:rsidR="005D7C80" w:rsidRPr="009A4E82" w:rsidRDefault="005D7C80" w:rsidP="005D7C80">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73.56%</w:t>
            </w:r>
          </w:p>
        </w:tc>
      </w:tr>
    </w:tbl>
    <w:p w14:paraId="4A427D2C" w14:textId="77777777" w:rsidR="005D7C80" w:rsidRDefault="005D7C80" w:rsidP="004B595F">
      <w:pPr>
        <w:pStyle w:val="Default"/>
        <w:jc w:val="both"/>
        <w:rPr>
          <w:sz w:val="22"/>
          <w:szCs w:val="22"/>
        </w:rPr>
      </w:pPr>
    </w:p>
    <w:p w14:paraId="6BD68D53" w14:textId="237E90D8" w:rsidR="007D6280" w:rsidRDefault="006F68EF" w:rsidP="004B595F">
      <w:pPr>
        <w:pStyle w:val="Default"/>
        <w:jc w:val="both"/>
        <w:rPr>
          <w:sz w:val="22"/>
          <w:szCs w:val="22"/>
        </w:rPr>
      </w:pPr>
      <w:r>
        <w:rPr>
          <w:sz w:val="22"/>
          <w:szCs w:val="22"/>
        </w:rPr>
        <w:t>From the above data it is evident that the</w:t>
      </w:r>
      <w:r w:rsidR="009472F6">
        <w:rPr>
          <w:sz w:val="22"/>
          <w:szCs w:val="22"/>
        </w:rPr>
        <w:t xml:space="preserve"> </w:t>
      </w:r>
      <w:r w:rsidR="009A4E82" w:rsidRPr="009A4E82">
        <w:rPr>
          <w:color w:val="000000" w:themeColor="text1"/>
          <w:sz w:val="22"/>
          <w:szCs w:val="22"/>
        </w:rPr>
        <w:t>74</w:t>
      </w:r>
      <w:r w:rsidRPr="009A4E82">
        <w:rPr>
          <w:color w:val="000000" w:themeColor="text1"/>
          <w:sz w:val="22"/>
          <w:szCs w:val="22"/>
        </w:rPr>
        <w:t>%</w:t>
      </w:r>
      <w:r>
        <w:rPr>
          <w:sz w:val="22"/>
          <w:szCs w:val="22"/>
        </w:rPr>
        <w:t xml:space="preserve"> of</w:t>
      </w:r>
      <w:r w:rsidR="009A4E82">
        <w:rPr>
          <w:sz w:val="22"/>
          <w:szCs w:val="22"/>
        </w:rPr>
        <w:t xml:space="preserve"> those</w:t>
      </w:r>
      <w:r>
        <w:rPr>
          <w:sz w:val="22"/>
          <w:szCs w:val="22"/>
        </w:rPr>
        <w:t xml:space="preserve"> employed in Medical, Dental and </w:t>
      </w:r>
      <w:r w:rsidR="00E01E59">
        <w:rPr>
          <w:sz w:val="22"/>
          <w:szCs w:val="22"/>
        </w:rPr>
        <w:t>Consultant roles</w:t>
      </w:r>
      <w:r>
        <w:rPr>
          <w:sz w:val="22"/>
          <w:szCs w:val="22"/>
        </w:rPr>
        <w:t xml:space="preserve"> </w:t>
      </w:r>
      <w:r w:rsidR="009A4E82">
        <w:rPr>
          <w:sz w:val="22"/>
          <w:szCs w:val="22"/>
        </w:rPr>
        <w:t xml:space="preserve">are male. This is much greater than the AFC workforce profile which 83% </w:t>
      </w:r>
      <w:r w:rsidR="0063020B">
        <w:rPr>
          <w:sz w:val="22"/>
          <w:szCs w:val="22"/>
        </w:rPr>
        <w:t>female</w:t>
      </w:r>
      <w:r>
        <w:rPr>
          <w:sz w:val="22"/>
          <w:szCs w:val="22"/>
        </w:rPr>
        <w:t xml:space="preserve">. </w:t>
      </w:r>
      <w:r w:rsidR="007D6280" w:rsidRPr="00B855A3">
        <w:rPr>
          <w:sz w:val="22"/>
          <w:szCs w:val="22"/>
        </w:rPr>
        <w:t xml:space="preserve">Although </w:t>
      </w:r>
      <w:r w:rsidR="0063020B" w:rsidRPr="00B855A3">
        <w:rPr>
          <w:sz w:val="22"/>
          <w:szCs w:val="22"/>
        </w:rPr>
        <w:t xml:space="preserve">there is a </w:t>
      </w:r>
      <w:r w:rsidR="007D6280" w:rsidRPr="00B855A3">
        <w:rPr>
          <w:sz w:val="22"/>
          <w:szCs w:val="22"/>
        </w:rPr>
        <w:t>low</w:t>
      </w:r>
      <w:r w:rsidRPr="00B855A3">
        <w:rPr>
          <w:sz w:val="22"/>
          <w:szCs w:val="22"/>
        </w:rPr>
        <w:t>er</w:t>
      </w:r>
      <w:r w:rsidR="007D6280" w:rsidRPr="00B855A3">
        <w:rPr>
          <w:sz w:val="22"/>
          <w:szCs w:val="22"/>
        </w:rPr>
        <w:t xml:space="preserve"> proportion of </w:t>
      </w:r>
      <w:r w:rsidR="0063020B" w:rsidRPr="00B855A3">
        <w:rPr>
          <w:sz w:val="22"/>
          <w:szCs w:val="22"/>
        </w:rPr>
        <w:t xml:space="preserve">males in </w:t>
      </w:r>
      <w:r w:rsidR="007D6280" w:rsidRPr="00B855A3">
        <w:rPr>
          <w:sz w:val="22"/>
          <w:szCs w:val="22"/>
        </w:rPr>
        <w:t xml:space="preserve">the total workforce </w:t>
      </w:r>
      <w:r w:rsidRPr="00B855A3">
        <w:rPr>
          <w:sz w:val="22"/>
          <w:szCs w:val="22"/>
        </w:rPr>
        <w:t>than females</w:t>
      </w:r>
      <w:r w:rsidR="007D6280" w:rsidRPr="00B855A3">
        <w:rPr>
          <w:sz w:val="22"/>
          <w:szCs w:val="22"/>
        </w:rPr>
        <w:t>, nearly half of the m</w:t>
      </w:r>
      <w:r w:rsidR="0063020B" w:rsidRPr="00B855A3">
        <w:rPr>
          <w:sz w:val="22"/>
          <w:szCs w:val="22"/>
        </w:rPr>
        <w:t>ales</w:t>
      </w:r>
      <w:r w:rsidR="007D6280" w:rsidRPr="00B855A3">
        <w:rPr>
          <w:sz w:val="22"/>
          <w:szCs w:val="22"/>
        </w:rPr>
        <w:t xml:space="preserve"> employed </w:t>
      </w:r>
      <w:r w:rsidR="00C76EF1" w:rsidRPr="00550BA5">
        <w:rPr>
          <w:color w:val="000000" w:themeColor="text1"/>
          <w:sz w:val="22"/>
          <w:szCs w:val="22"/>
        </w:rPr>
        <w:t>(</w:t>
      </w:r>
      <w:r w:rsidR="00CC37EB" w:rsidRPr="00550BA5">
        <w:rPr>
          <w:color w:val="000000" w:themeColor="text1"/>
          <w:lang w:eastAsia="en-GB"/>
        </w:rPr>
        <w:t>33</w:t>
      </w:r>
      <w:r w:rsidR="00C76EF1" w:rsidRPr="00550BA5">
        <w:rPr>
          <w:color w:val="000000" w:themeColor="text1"/>
          <w:lang w:eastAsia="en-GB"/>
        </w:rPr>
        <w:t>%)</w:t>
      </w:r>
      <w:r w:rsidR="007D6280" w:rsidRPr="00550BA5">
        <w:rPr>
          <w:color w:val="000000" w:themeColor="text1"/>
          <w:sz w:val="22"/>
          <w:szCs w:val="22"/>
        </w:rPr>
        <w:t xml:space="preserve"> </w:t>
      </w:r>
      <w:r w:rsidR="007D6280" w:rsidRPr="00B855A3">
        <w:rPr>
          <w:sz w:val="22"/>
          <w:szCs w:val="22"/>
        </w:rPr>
        <w:t>are paid in the top earnings quart</w:t>
      </w:r>
      <w:r w:rsidR="00D555EC" w:rsidRPr="00B855A3">
        <w:rPr>
          <w:sz w:val="22"/>
          <w:szCs w:val="22"/>
        </w:rPr>
        <w:t xml:space="preserve">ile. </w:t>
      </w:r>
      <w:r w:rsidR="007C3DAB" w:rsidRPr="00B855A3">
        <w:rPr>
          <w:sz w:val="22"/>
          <w:szCs w:val="22"/>
        </w:rPr>
        <w:t xml:space="preserve"> </w:t>
      </w:r>
      <w:r w:rsidR="00D555EC" w:rsidRPr="00B855A3">
        <w:rPr>
          <w:sz w:val="22"/>
          <w:szCs w:val="22"/>
        </w:rPr>
        <w:t>This is unsurprising</w:t>
      </w:r>
      <w:r w:rsidR="007D6280" w:rsidRPr="00B855A3">
        <w:rPr>
          <w:sz w:val="22"/>
          <w:szCs w:val="22"/>
        </w:rPr>
        <w:t xml:space="preserve">, as men make up </w:t>
      </w:r>
      <w:r w:rsidR="00DF3120" w:rsidRPr="00B855A3">
        <w:rPr>
          <w:sz w:val="22"/>
          <w:szCs w:val="22"/>
        </w:rPr>
        <w:t>most</w:t>
      </w:r>
      <w:r w:rsidR="007D6280" w:rsidRPr="00B855A3">
        <w:rPr>
          <w:sz w:val="22"/>
          <w:szCs w:val="22"/>
        </w:rPr>
        <w:t xml:space="preserve"> recipients of Clinical Excellence Awards (</w:t>
      </w:r>
      <w:r w:rsidR="00C56143" w:rsidRPr="00B855A3">
        <w:rPr>
          <w:sz w:val="22"/>
          <w:szCs w:val="22"/>
        </w:rPr>
        <w:t>86</w:t>
      </w:r>
      <w:r w:rsidR="007D6280" w:rsidRPr="00B855A3">
        <w:rPr>
          <w:sz w:val="22"/>
          <w:szCs w:val="22"/>
        </w:rPr>
        <w:t xml:space="preserve"> of 1</w:t>
      </w:r>
      <w:r w:rsidR="00C56143" w:rsidRPr="00B855A3">
        <w:rPr>
          <w:sz w:val="22"/>
          <w:szCs w:val="22"/>
        </w:rPr>
        <w:t>04</w:t>
      </w:r>
      <w:r w:rsidR="007D6280" w:rsidRPr="00B855A3">
        <w:rPr>
          <w:sz w:val="22"/>
          <w:szCs w:val="22"/>
        </w:rPr>
        <w:t xml:space="preserve"> awarded).</w:t>
      </w:r>
      <w:r w:rsidR="007D6280">
        <w:rPr>
          <w:sz w:val="22"/>
          <w:szCs w:val="22"/>
        </w:rPr>
        <w:t xml:space="preserve"> </w:t>
      </w:r>
    </w:p>
    <w:p w14:paraId="76257B14" w14:textId="16EFB4B1" w:rsidR="001D73B7" w:rsidRDefault="001D73B7" w:rsidP="004B595F">
      <w:pPr>
        <w:pStyle w:val="Default"/>
        <w:jc w:val="both"/>
        <w:rPr>
          <w:sz w:val="22"/>
          <w:szCs w:val="22"/>
        </w:rPr>
      </w:pPr>
    </w:p>
    <w:p w14:paraId="04F398AF" w14:textId="1823D9F1" w:rsidR="001D73B7" w:rsidRDefault="00550BA5" w:rsidP="004B595F">
      <w:pPr>
        <w:pStyle w:val="Default"/>
        <w:jc w:val="both"/>
        <w:rPr>
          <w:b/>
          <w:bCs/>
          <w:sz w:val="22"/>
          <w:szCs w:val="22"/>
        </w:rPr>
      </w:pPr>
      <w:r w:rsidRPr="00550BA5">
        <w:rPr>
          <w:b/>
          <w:bCs/>
          <w:sz w:val="22"/>
          <w:szCs w:val="22"/>
        </w:rPr>
        <w:t xml:space="preserve">Clinical Excellence Award (Bonus payments) </w:t>
      </w:r>
      <w:r w:rsidR="00D47C22" w:rsidRPr="00550BA5">
        <w:rPr>
          <w:b/>
          <w:bCs/>
          <w:sz w:val="22"/>
          <w:szCs w:val="22"/>
        </w:rPr>
        <w:t>2021</w:t>
      </w:r>
    </w:p>
    <w:p w14:paraId="4455517C" w14:textId="77777777" w:rsidR="00550BA5" w:rsidRPr="00550BA5" w:rsidRDefault="00550BA5" w:rsidP="004B595F">
      <w:pPr>
        <w:pStyle w:val="Default"/>
        <w:jc w:val="both"/>
        <w:rPr>
          <w:b/>
          <w:bCs/>
          <w:sz w:val="22"/>
          <w:szCs w:val="22"/>
        </w:rPr>
      </w:pPr>
    </w:p>
    <w:tbl>
      <w:tblPr>
        <w:tblW w:w="4957" w:type="dxa"/>
        <w:tblLook w:val="04A0" w:firstRow="1" w:lastRow="0" w:firstColumn="1" w:lastColumn="0" w:noHBand="0" w:noVBand="1"/>
      </w:tblPr>
      <w:tblGrid>
        <w:gridCol w:w="708"/>
        <w:gridCol w:w="1414"/>
        <w:gridCol w:w="1701"/>
        <w:gridCol w:w="1134"/>
      </w:tblGrid>
      <w:tr w:rsidR="00D47C22" w:rsidRPr="00D47C22" w14:paraId="4086D726" w14:textId="77777777" w:rsidTr="00CC37EB">
        <w:trPr>
          <w:trHeight w:val="408"/>
        </w:trPr>
        <w:tc>
          <w:tcPr>
            <w:tcW w:w="708" w:type="dxa"/>
            <w:tcBorders>
              <w:top w:val="single" w:sz="4" w:space="0" w:color="auto"/>
              <w:left w:val="single" w:sz="4" w:space="0" w:color="auto"/>
              <w:bottom w:val="single" w:sz="4" w:space="0" w:color="auto"/>
              <w:right w:val="single" w:sz="4" w:space="0" w:color="auto"/>
            </w:tcBorders>
            <w:shd w:val="clear" w:color="000000" w:fill="0066CC"/>
            <w:hideMark/>
          </w:tcPr>
          <w:p w14:paraId="3FC80344" w14:textId="77777777" w:rsidR="00D47C22" w:rsidRPr="009A4E82" w:rsidRDefault="00D47C22" w:rsidP="00D47C22">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Gender</w:t>
            </w:r>
          </w:p>
        </w:tc>
        <w:tc>
          <w:tcPr>
            <w:tcW w:w="1414" w:type="dxa"/>
            <w:tcBorders>
              <w:top w:val="single" w:sz="4" w:space="0" w:color="auto"/>
              <w:left w:val="nil"/>
              <w:bottom w:val="single" w:sz="4" w:space="0" w:color="auto"/>
              <w:right w:val="single" w:sz="4" w:space="0" w:color="auto"/>
            </w:tcBorders>
            <w:shd w:val="clear" w:color="000000" w:fill="0066CC"/>
            <w:hideMark/>
          </w:tcPr>
          <w:p w14:paraId="773225F6" w14:textId="77777777" w:rsidR="00D47C22" w:rsidRPr="009A4E82" w:rsidRDefault="00D47C22" w:rsidP="00D47C22">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Employees Paid Bonus</w:t>
            </w:r>
          </w:p>
        </w:tc>
        <w:tc>
          <w:tcPr>
            <w:tcW w:w="1701" w:type="dxa"/>
            <w:tcBorders>
              <w:top w:val="single" w:sz="4" w:space="0" w:color="auto"/>
              <w:left w:val="nil"/>
              <w:bottom w:val="single" w:sz="4" w:space="0" w:color="auto"/>
              <w:right w:val="single" w:sz="4" w:space="0" w:color="auto"/>
            </w:tcBorders>
            <w:shd w:val="clear" w:color="000000" w:fill="0066CC"/>
            <w:hideMark/>
          </w:tcPr>
          <w:p w14:paraId="59E73B89" w14:textId="77777777" w:rsidR="00D47C22" w:rsidRPr="009A4E82" w:rsidRDefault="00D47C22" w:rsidP="00D47C22">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Total Relevant Employees</w:t>
            </w:r>
          </w:p>
        </w:tc>
        <w:tc>
          <w:tcPr>
            <w:tcW w:w="1134" w:type="dxa"/>
            <w:tcBorders>
              <w:top w:val="single" w:sz="4" w:space="0" w:color="auto"/>
              <w:left w:val="nil"/>
              <w:bottom w:val="single" w:sz="4" w:space="0" w:color="auto"/>
              <w:right w:val="single" w:sz="8" w:space="0" w:color="auto"/>
            </w:tcBorders>
            <w:shd w:val="clear" w:color="000000" w:fill="0066CC"/>
            <w:hideMark/>
          </w:tcPr>
          <w:p w14:paraId="16E3E9A3" w14:textId="77777777" w:rsidR="00D47C22" w:rsidRPr="009A4E82" w:rsidRDefault="00D47C22" w:rsidP="00D47C22">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w:t>
            </w:r>
          </w:p>
        </w:tc>
      </w:tr>
      <w:tr w:rsidR="00D47C22" w:rsidRPr="00D47C22" w14:paraId="47AFDB12" w14:textId="77777777" w:rsidTr="00CC37EB">
        <w:trPr>
          <w:trHeight w:val="288"/>
        </w:trPr>
        <w:tc>
          <w:tcPr>
            <w:tcW w:w="708" w:type="dxa"/>
            <w:tcBorders>
              <w:top w:val="nil"/>
              <w:left w:val="single" w:sz="4" w:space="0" w:color="auto"/>
              <w:bottom w:val="single" w:sz="4" w:space="0" w:color="auto"/>
              <w:right w:val="single" w:sz="4" w:space="0" w:color="auto"/>
            </w:tcBorders>
            <w:shd w:val="clear" w:color="000000" w:fill="0066CC"/>
            <w:hideMark/>
          </w:tcPr>
          <w:p w14:paraId="0FF8AAD8" w14:textId="77777777" w:rsidR="00D47C22" w:rsidRPr="009A4E82" w:rsidRDefault="00D47C22" w:rsidP="00D47C22">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Female</w:t>
            </w:r>
          </w:p>
        </w:tc>
        <w:tc>
          <w:tcPr>
            <w:tcW w:w="1414" w:type="dxa"/>
            <w:tcBorders>
              <w:top w:val="nil"/>
              <w:left w:val="nil"/>
              <w:bottom w:val="single" w:sz="4" w:space="0" w:color="auto"/>
              <w:right w:val="single" w:sz="4" w:space="0" w:color="auto"/>
            </w:tcBorders>
            <w:shd w:val="clear" w:color="000000" w:fill="FFFFFF"/>
            <w:hideMark/>
          </w:tcPr>
          <w:p w14:paraId="51BED25F" w14:textId="77777777" w:rsidR="00D47C22" w:rsidRPr="009A4E82" w:rsidRDefault="00D47C22" w:rsidP="00D47C22">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18.00</w:t>
            </w:r>
          </w:p>
        </w:tc>
        <w:tc>
          <w:tcPr>
            <w:tcW w:w="1701" w:type="dxa"/>
            <w:tcBorders>
              <w:top w:val="nil"/>
              <w:left w:val="nil"/>
              <w:bottom w:val="single" w:sz="4" w:space="0" w:color="auto"/>
              <w:right w:val="single" w:sz="4" w:space="0" w:color="auto"/>
            </w:tcBorders>
            <w:shd w:val="clear" w:color="000000" w:fill="FFFFFF"/>
            <w:hideMark/>
          </w:tcPr>
          <w:p w14:paraId="20995F4E" w14:textId="77777777" w:rsidR="00D47C22" w:rsidRPr="009A4E82" w:rsidRDefault="00D47C22" w:rsidP="00D47C22">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5668.00</w:t>
            </w:r>
          </w:p>
        </w:tc>
        <w:tc>
          <w:tcPr>
            <w:tcW w:w="1134" w:type="dxa"/>
            <w:tcBorders>
              <w:top w:val="nil"/>
              <w:left w:val="nil"/>
              <w:bottom w:val="single" w:sz="4" w:space="0" w:color="auto"/>
              <w:right w:val="single" w:sz="8" w:space="0" w:color="auto"/>
            </w:tcBorders>
            <w:shd w:val="clear" w:color="000000" w:fill="FFFFFF"/>
            <w:hideMark/>
          </w:tcPr>
          <w:p w14:paraId="36E9F02E" w14:textId="77777777" w:rsidR="00D47C22" w:rsidRPr="009A4E82" w:rsidRDefault="00D47C22" w:rsidP="00D47C22">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0.32</w:t>
            </w:r>
          </w:p>
        </w:tc>
      </w:tr>
      <w:tr w:rsidR="00D47C22" w:rsidRPr="00D47C22" w14:paraId="576565DD" w14:textId="77777777" w:rsidTr="00CC37EB">
        <w:trPr>
          <w:trHeight w:val="288"/>
        </w:trPr>
        <w:tc>
          <w:tcPr>
            <w:tcW w:w="708" w:type="dxa"/>
            <w:tcBorders>
              <w:top w:val="nil"/>
              <w:left w:val="single" w:sz="4" w:space="0" w:color="auto"/>
              <w:bottom w:val="single" w:sz="4" w:space="0" w:color="auto"/>
              <w:right w:val="single" w:sz="4" w:space="0" w:color="auto"/>
            </w:tcBorders>
            <w:shd w:val="clear" w:color="000000" w:fill="0066CC"/>
            <w:hideMark/>
          </w:tcPr>
          <w:p w14:paraId="40740A85" w14:textId="77777777" w:rsidR="00D47C22" w:rsidRPr="009A4E82" w:rsidRDefault="00D47C22" w:rsidP="00D47C22">
            <w:pPr>
              <w:spacing w:after="0" w:line="240" w:lineRule="auto"/>
              <w:rPr>
                <w:rFonts w:ascii="Calibri" w:eastAsia="Times New Roman" w:hAnsi="Calibri" w:cs="Calibri"/>
                <w:b/>
                <w:bCs/>
                <w:color w:val="000000" w:themeColor="text1"/>
                <w:sz w:val="16"/>
                <w:szCs w:val="16"/>
                <w:lang w:eastAsia="en-GB"/>
              </w:rPr>
            </w:pPr>
            <w:r w:rsidRPr="009A4E82">
              <w:rPr>
                <w:rFonts w:ascii="Calibri" w:eastAsia="Times New Roman" w:hAnsi="Calibri" w:cs="Calibri"/>
                <w:b/>
                <w:bCs/>
                <w:color w:val="000000" w:themeColor="text1"/>
                <w:sz w:val="16"/>
                <w:szCs w:val="16"/>
                <w:lang w:eastAsia="en-GB"/>
              </w:rPr>
              <w:t>Male</w:t>
            </w:r>
          </w:p>
        </w:tc>
        <w:tc>
          <w:tcPr>
            <w:tcW w:w="1414" w:type="dxa"/>
            <w:tcBorders>
              <w:top w:val="nil"/>
              <w:left w:val="nil"/>
              <w:bottom w:val="single" w:sz="4" w:space="0" w:color="auto"/>
              <w:right w:val="single" w:sz="4" w:space="0" w:color="auto"/>
            </w:tcBorders>
            <w:shd w:val="clear" w:color="000000" w:fill="FFFFFF"/>
            <w:hideMark/>
          </w:tcPr>
          <w:p w14:paraId="3EC46702" w14:textId="77777777" w:rsidR="00D47C22" w:rsidRPr="009A4E82" w:rsidRDefault="00D47C22" w:rsidP="00D47C22">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86.00</w:t>
            </w:r>
          </w:p>
        </w:tc>
        <w:tc>
          <w:tcPr>
            <w:tcW w:w="1701" w:type="dxa"/>
            <w:tcBorders>
              <w:top w:val="nil"/>
              <w:left w:val="nil"/>
              <w:bottom w:val="single" w:sz="4" w:space="0" w:color="auto"/>
              <w:right w:val="single" w:sz="4" w:space="0" w:color="auto"/>
            </w:tcBorders>
            <w:shd w:val="clear" w:color="000000" w:fill="FFFFFF"/>
            <w:hideMark/>
          </w:tcPr>
          <w:p w14:paraId="0FB097A3" w14:textId="77777777" w:rsidR="00D47C22" w:rsidRPr="009A4E82" w:rsidRDefault="00D47C22" w:rsidP="00D47C22">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1433.00</w:t>
            </w:r>
          </w:p>
        </w:tc>
        <w:tc>
          <w:tcPr>
            <w:tcW w:w="1134" w:type="dxa"/>
            <w:tcBorders>
              <w:top w:val="nil"/>
              <w:left w:val="nil"/>
              <w:bottom w:val="single" w:sz="4" w:space="0" w:color="auto"/>
              <w:right w:val="single" w:sz="8" w:space="0" w:color="auto"/>
            </w:tcBorders>
            <w:shd w:val="clear" w:color="000000" w:fill="FFFFFF"/>
            <w:hideMark/>
          </w:tcPr>
          <w:p w14:paraId="04B60EE0" w14:textId="77777777" w:rsidR="00D47C22" w:rsidRPr="009A4E82" w:rsidRDefault="00D47C22" w:rsidP="00D47C22">
            <w:pPr>
              <w:spacing w:after="0" w:line="240" w:lineRule="auto"/>
              <w:jc w:val="right"/>
              <w:rPr>
                <w:rFonts w:ascii="Calibri" w:eastAsia="Times New Roman" w:hAnsi="Calibri" w:cs="Calibri"/>
                <w:color w:val="000000" w:themeColor="text1"/>
                <w:sz w:val="16"/>
                <w:szCs w:val="16"/>
                <w:lang w:eastAsia="en-GB"/>
              </w:rPr>
            </w:pPr>
            <w:r w:rsidRPr="009A4E82">
              <w:rPr>
                <w:rFonts w:ascii="Calibri" w:eastAsia="Times New Roman" w:hAnsi="Calibri" w:cs="Calibri"/>
                <w:color w:val="000000" w:themeColor="text1"/>
                <w:sz w:val="16"/>
                <w:szCs w:val="16"/>
                <w:lang w:eastAsia="en-GB"/>
              </w:rPr>
              <w:t>6.00</w:t>
            </w:r>
          </w:p>
        </w:tc>
      </w:tr>
    </w:tbl>
    <w:p w14:paraId="36BC7A65" w14:textId="77777777" w:rsidR="005D7C80" w:rsidRDefault="005D7C80" w:rsidP="004B595F">
      <w:pPr>
        <w:pStyle w:val="Default"/>
        <w:jc w:val="both"/>
        <w:rPr>
          <w:sz w:val="22"/>
          <w:szCs w:val="22"/>
        </w:rPr>
      </w:pPr>
    </w:p>
    <w:p w14:paraId="2F0E222A" w14:textId="4F6B5BF7" w:rsidR="007D6280" w:rsidRDefault="007D6280" w:rsidP="004B595F">
      <w:pPr>
        <w:pStyle w:val="Default"/>
        <w:jc w:val="both"/>
        <w:rPr>
          <w:sz w:val="22"/>
          <w:szCs w:val="22"/>
        </w:rPr>
      </w:pPr>
      <w:r>
        <w:rPr>
          <w:sz w:val="22"/>
          <w:szCs w:val="22"/>
        </w:rPr>
        <w:t xml:space="preserve">There </w:t>
      </w:r>
      <w:r w:rsidR="00A523C4">
        <w:rPr>
          <w:sz w:val="22"/>
          <w:szCs w:val="22"/>
        </w:rPr>
        <w:t xml:space="preserve">continues to be </w:t>
      </w:r>
      <w:r w:rsidR="00C56143">
        <w:rPr>
          <w:sz w:val="22"/>
          <w:szCs w:val="22"/>
        </w:rPr>
        <w:t xml:space="preserve">ongoing strategic work </w:t>
      </w:r>
      <w:r>
        <w:rPr>
          <w:sz w:val="22"/>
          <w:szCs w:val="22"/>
        </w:rPr>
        <w:t>clarify</w:t>
      </w:r>
      <w:r w:rsidR="00C56143">
        <w:rPr>
          <w:sz w:val="22"/>
          <w:szCs w:val="22"/>
        </w:rPr>
        <w:t>ing</w:t>
      </w:r>
      <w:r>
        <w:rPr>
          <w:sz w:val="22"/>
          <w:szCs w:val="22"/>
        </w:rPr>
        <w:t xml:space="preserve"> the position regarding Clinical Excellence Awards and the classification of them as a</w:t>
      </w:r>
      <w:r w:rsidR="00F273E1">
        <w:rPr>
          <w:sz w:val="22"/>
          <w:szCs w:val="22"/>
        </w:rPr>
        <w:t xml:space="preserve"> bonus payment. </w:t>
      </w:r>
      <w:r w:rsidR="007C3DAB">
        <w:rPr>
          <w:sz w:val="22"/>
          <w:szCs w:val="22"/>
        </w:rPr>
        <w:t xml:space="preserve"> </w:t>
      </w:r>
      <w:r w:rsidR="00F273E1" w:rsidRPr="00AB2CA6">
        <w:rPr>
          <w:color w:val="auto"/>
          <w:sz w:val="22"/>
          <w:szCs w:val="22"/>
        </w:rPr>
        <w:t xml:space="preserve">These bonuses </w:t>
      </w:r>
      <w:r w:rsidRPr="00AB2CA6">
        <w:rPr>
          <w:color w:val="auto"/>
          <w:sz w:val="22"/>
          <w:szCs w:val="22"/>
        </w:rPr>
        <w:t xml:space="preserve">received by </w:t>
      </w:r>
      <w:r w:rsidR="00C56143">
        <w:rPr>
          <w:color w:val="auto"/>
          <w:sz w:val="22"/>
          <w:szCs w:val="22"/>
        </w:rPr>
        <w:t>6</w:t>
      </w:r>
      <w:r w:rsidR="00D555EC" w:rsidRPr="00AB2CA6">
        <w:rPr>
          <w:color w:val="auto"/>
          <w:sz w:val="22"/>
          <w:szCs w:val="22"/>
        </w:rPr>
        <w:t xml:space="preserve">% </w:t>
      </w:r>
      <w:r w:rsidR="00DB55A3">
        <w:rPr>
          <w:color w:val="auto"/>
          <w:sz w:val="22"/>
          <w:szCs w:val="22"/>
        </w:rPr>
        <w:t xml:space="preserve">(86) </w:t>
      </w:r>
      <w:r w:rsidR="00D555EC" w:rsidRPr="00AB2CA6">
        <w:rPr>
          <w:color w:val="auto"/>
          <w:sz w:val="22"/>
          <w:szCs w:val="22"/>
        </w:rPr>
        <w:t xml:space="preserve">of all </w:t>
      </w:r>
      <w:r w:rsidR="00AD4436" w:rsidRPr="00AB2CA6">
        <w:rPr>
          <w:color w:val="auto"/>
          <w:sz w:val="22"/>
          <w:szCs w:val="22"/>
        </w:rPr>
        <w:t>males employed</w:t>
      </w:r>
      <w:r w:rsidR="00D555EC" w:rsidRPr="00AB2CA6">
        <w:rPr>
          <w:color w:val="auto"/>
          <w:sz w:val="22"/>
          <w:szCs w:val="22"/>
        </w:rPr>
        <w:t xml:space="preserve"> </w:t>
      </w:r>
      <w:r w:rsidRPr="00AB2CA6">
        <w:rPr>
          <w:color w:val="auto"/>
          <w:sz w:val="22"/>
          <w:szCs w:val="22"/>
        </w:rPr>
        <w:t xml:space="preserve">will inflate the average salaries. </w:t>
      </w:r>
      <w:r w:rsidR="007C3DAB" w:rsidRPr="00AB2CA6">
        <w:rPr>
          <w:color w:val="auto"/>
          <w:sz w:val="22"/>
          <w:szCs w:val="22"/>
        </w:rPr>
        <w:t xml:space="preserve"> </w:t>
      </w:r>
      <w:r w:rsidR="001D73B7">
        <w:rPr>
          <w:color w:val="auto"/>
          <w:sz w:val="22"/>
          <w:szCs w:val="22"/>
        </w:rPr>
        <w:t xml:space="preserve">From the above table it is evident that 18 females were in receipt of the CEA which equates to 0.32% of total relevant employees. </w:t>
      </w:r>
      <w:r w:rsidRPr="00AB2CA6">
        <w:rPr>
          <w:color w:val="auto"/>
          <w:sz w:val="22"/>
          <w:szCs w:val="22"/>
        </w:rPr>
        <w:t xml:space="preserve">All the figures are based on net salaries </w:t>
      </w:r>
      <w:r w:rsidR="0055646E">
        <w:rPr>
          <w:color w:val="auto"/>
          <w:sz w:val="22"/>
          <w:szCs w:val="22"/>
        </w:rPr>
        <w:t xml:space="preserve">which for females may have been previously </w:t>
      </w:r>
      <w:r w:rsidRPr="00AB2CA6">
        <w:rPr>
          <w:color w:val="auto"/>
          <w:sz w:val="22"/>
          <w:szCs w:val="22"/>
        </w:rPr>
        <w:t xml:space="preserve">depressed by salary sacrifice </w:t>
      </w:r>
      <w:r w:rsidR="0055646E">
        <w:rPr>
          <w:color w:val="auto"/>
          <w:sz w:val="22"/>
          <w:szCs w:val="22"/>
        </w:rPr>
        <w:t xml:space="preserve">schemes in relation to </w:t>
      </w:r>
      <w:r>
        <w:rPr>
          <w:sz w:val="22"/>
          <w:szCs w:val="22"/>
        </w:rPr>
        <w:t>childcare</w:t>
      </w:r>
      <w:r w:rsidR="00560D42">
        <w:rPr>
          <w:sz w:val="22"/>
          <w:szCs w:val="22"/>
        </w:rPr>
        <w:t xml:space="preserve">. </w:t>
      </w:r>
      <w:r w:rsidR="004B0EDB">
        <w:rPr>
          <w:sz w:val="22"/>
          <w:szCs w:val="22"/>
        </w:rPr>
        <w:t>However,</w:t>
      </w:r>
      <w:r w:rsidR="0055646E">
        <w:rPr>
          <w:sz w:val="22"/>
          <w:szCs w:val="22"/>
        </w:rPr>
        <w:t xml:space="preserve"> </w:t>
      </w:r>
      <w:r w:rsidR="00560D42">
        <w:rPr>
          <w:sz w:val="22"/>
          <w:szCs w:val="22"/>
        </w:rPr>
        <w:t xml:space="preserve">this is no longer the case as it is administered differently and there have been no new joiners </w:t>
      </w:r>
      <w:r w:rsidR="0055646E">
        <w:rPr>
          <w:sz w:val="22"/>
          <w:szCs w:val="22"/>
        </w:rPr>
        <w:t xml:space="preserve">accepted on to this scheme.  </w:t>
      </w:r>
      <w:r>
        <w:rPr>
          <w:sz w:val="22"/>
          <w:szCs w:val="22"/>
        </w:rPr>
        <w:t xml:space="preserve"> </w:t>
      </w:r>
    </w:p>
    <w:p w14:paraId="04575A8E" w14:textId="392CCAA8" w:rsidR="007D6280" w:rsidRDefault="00F273E1" w:rsidP="004B595F">
      <w:pPr>
        <w:pStyle w:val="Default"/>
        <w:jc w:val="both"/>
        <w:rPr>
          <w:color w:val="000000" w:themeColor="text1"/>
          <w:sz w:val="22"/>
          <w:szCs w:val="22"/>
        </w:rPr>
      </w:pPr>
      <w:r>
        <w:rPr>
          <w:color w:val="000000" w:themeColor="text1"/>
          <w:sz w:val="22"/>
          <w:szCs w:val="22"/>
        </w:rPr>
        <w:t>Th</w:t>
      </w:r>
      <w:r w:rsidR="001D73B7">
        <w:rPr>
          <w:color w:val="000000" w:themeColor="text1"/>
          <w:sz w:val="22"/>
          <w:szCs w:val="22"/>
        </w:rPr>
        <w:t xml:space="preserve">e </w:t>
      </w:r>
      <w:r>
        <w:rPr>
          <w:color w:val="000000" w:themeColor="text1"/>
          <w:sz w:val="22"/>
          <w:szCs w:val="22"/>
        </w:rPr>
        <w:t xml:space="preserve">bonus </w:t>
      </w:r>
      <w:r w:rsidR="007D6280" w:rsidRPr="005F60FC">
        <w:rPr>
          <w:color w:val="000000" w:themeColor="text1"/>
          <w:sz w:val="22"/>
          <w:szCs w:val="22"/>
        </w:rPr>
        <w:t xml:space="preserve">gender split </w:t>
      </w:r>
      <w:r w:rsidR="001D73B7">
        <w:rPr>
          <w:color w:val="000000" w:themeColor="text1"/>
          <w:sz w:val="22"/>
          <w:szCs w:val="22"/>
        </w:rPr>
        <w:t xml:space="preserve">indicated above </w:t>
      </w:r>
      <w:r w:rsidR="007D6280" w:rsidRPr="005F60FC">
        <w:rPr>
          <w:color w:val="000000" w:themeColor="text1"/>
          <w:sz w:val="22"/>
          <w:szCs w:val="22"/>
        </w:rPr>
        <w:t xml:space="preserve">is broadly consistent with most NHS Acute Trusts in England and Wales. </w:t>
      </w:r>
      <w:r w:rsidR="007C3DAB">
        <w:rPr>
          <w:color w:val="000000" w:themeColor="text1"/>
          <w:sz w:val="22"/>
          <w:szCs w:val="22"/>
        </w:rPr>
        <w:t xml:space="preserve"> </w:t>
      </w:r>
      <w:r w:rsidR="007D6280" w:rsidRPr="005F60FC">
        <w:rPr>
          <w:color w:val="000000" w:themeColor="text1"/>
          <w:sz w:val="22"/>
          <w:szCs w:val="22"/>
        </w:rPr>
        <w:t>The data is based upon an NHS-wide gender pay reporting dashboard, developed by ESR, which allow</w:t>
      </w:r>
      <w:r w:rsidR="00D555EC">
        <w:rPr>
          <w:color w:val="000000" w:themeColor="text1"/>
          <w:sz w:val="22"/>
          <w:szCs w:val="22"/>
        </w:rPr>
        <w:t>s</w:t>
      </w:r>
      <w:r w:rsidR="007D6280" w:rsidRPr="005F60FC">
        <w:rPr>
          <w:color w:val="000000" w:themeColor="text1"/>
          <w:sz w:val="22"/>
          <w:szCs w:val="22"/>
        </w:rPr>
        <w:t xml:space="preserve"> the inclusion of any relevant bonus payments in the calculations </w:t>
      </w:r>
    </w:p>
    <w:p w14:paraId="06674E80" w14:textId="3ABAD3C4" w:rsidR="001D73B7" w:rsidRDefault="001D73B7" w:rsidP="004B595F">
      <w:pPr>
        <w:pStyle w:val="Default"/>
        <w:jc w:val="both"/>
        <w:rPr>
          <w:color w:val="000000" w:themeColor="text1"/>
          <w:sz w:val="22"/>
          <w:szCs w:val="22"/>
        </w:rPr>
      </w:pPr>
    </w:p>
    <w:p w14:paraId="4ACF6D66" w14:textId="77777777" w:rsidR="00014C9C" w:rsidRDefault="00014C9C" w:rsidP="004B595F">
      <w:pPr>
        <w:pStyle w:val="Default"/>
        <w:jc w:val="both"/>
        <w:rPr>
          <w:color w:val="000000" w:themeColor="text1"/>
          <w:sz w:val="22"/>
          <w:szCs w:val="22"/>
        </w:rPr>
      </w:pPr>
    </w:p>
    <w:p w14:paraId="539B3F71" w14:textId="77777777" w:rsidR="00014C9C" w:rsidRDefault="00014C9C" w:rsidP="004B595F">
      <w:pPr>
        <w:pStyle w:val="Default"/>
        <w:jc w:val="both"/>
        <w:rPr>
          <w:color w:val="000000" w:themeColor="text1"/>
          <w:sz w:val="22"/>
          <w:szCs w:val="22"/>
        </w:rPr>
      </w:pPr>
    </w:p>
    <w:p w14:paraId="25A1E9C9" w14:textId="77777777" w:rsidR="00014C9C" w:rsidRDefault="00014C9C" w:rsidP="004B595F">
      <w:pPr>
        <w:pStyle w:val="Default"/>
        <w:jc w:val="both"/>
        <w:rPr>
          <w:color w:val="000000" w:themeColor="text1"/>
          <w:sz w:val="22"/>
          <w:szCs w:val="22"/>
        </w:rPr>
      </w:pPr>
    </w:p>
    <w:p w14:paraId="428EA2D5" w14:textId="77777777" w:rsidR="00014C9C" w:rsidRDefault="00014C9C" w:rsidP="004B595F">
      <w:pPr>
        <w:pStyle w:val="Default"/>
        <w:jc w:val="both"/>
        <w:rPr>
          <w:color w:val="000000" w:themeColor="text1"/>
          <w:sz w:val="22"/>
          <w:szCs w:val="22"/>
        </w:rPr>
      </w:pPr>
    </w:p>
    <w:p w14:paraId="2C5AE7D6" w14:textId="4F9281E9" w:rsidR="001D73B7" w:rsidRPr="005F60FC" w:rsidRDefault="001D73B7" w:rsidP="004B595F">
      <w:pPr>
        <w:pStyle w:val="Default"/>
        <w:jc w:val="both"/>
        <w:rPr>
          <w:color w:val="000000" w:themeColor="text1"/>
          <w:sz w:val="22"/>
          <w:szCs w:val="22"/>
        </w:rPr>
      </w:pPr>
      <w:r>
        <w:rPr>
          <w:color w:val="000000" w:themeColor="text1"/>
          <w:sz w:val="22"/>
          <w:szCs w:val="22"/>
        </w:rPr>
        <w:lastRenderedPageBreak/>
        <w:t>The data in the following tables reflects the gender pay gap reports for DBTH.</w:t>
      </w:r>
    </w:p>
    <w:p w14:paraId="233F36FF" w14:textId="64F2F790" w:rsidR="00396240" w:rsidRDefault="005B50F0" w:rsidP="007C3DAB">
      <w:pPr>
        <w:pStyle w:val="Default"/>
        <w:spacing w:after="60"/>
        <w:jc w:val="both"/>
        <w:rPr>
          <w:b/>
          <w:color w:val="000000" w:themeColor="text1"/>
        </w:rPr>
      </w:pPr>
      <w:r>
        <w:rPr>
          <w:b/>
          <w:color w:val="000000" w:themeColor="text1"/>
        </w:rPr>
        <w:t xml:space="preserve">Gender Pay Gap </w:t>
      </w:r>
      <w:r w:rsidR="007C02A2">
        <w:rPr>
          <w:b/>
          <w:color w:val="000000" w:themeColor="text1"/>
        </w:rPr>
        <w:t>AFC</w:t>
      </w:r>
      <w:r>
        <w:rPr>
          <w:b/>
          <w:color w:val="000000" w:themeColor="text1"/>
        </w:rPr>
        <w:t xml:space="preserve"> staff</w:t>
      </w:r>
    </w:p>
    <w:p w14:paraId="6801BBDB" w14:textId="7F5CA7B5" w:rsidR="00D47C22" w:rsidRPr="008056F5" w:rsidRDefault="00D47C22" w:rsidP="004B595F">
      <w:pPr>
        <w:pStyle w:val="Default"/>
        <w:jc w:val="both"/>
        <w:rPr>
          <w:b/>
          <w:color w:val="000000" w:themeColor="text1"/>
          <w:sz w:val="22"/>
          <w:szCs w:val="22"/>
        </w:rPr>
      </w:pPr>
      <w:r w:rsidRPr="008056F5">
        <w:rPr>
          <w:b/>
          <w:color w:val="000000" w:themeColor="text1"/>
          <w:sz w:val="22"/>
          <w:szCs w:val="22"/>
        </w:rPr>
        <w:t>2021</w:t>
      </w:r>
    </w:p>
    <w:tbl>
      <w:tblPr>
        <w:tblW w:w="6374" w:type="dxa"/>
        <w:tblLook w:val="04A0" w:firstRow="1" w:lastRow="0" w:firstColumn="1" w:lastColumn="0" w:noHBand="0" w:noVBand="1"/>
      </w:tblPr>
      <w:tblGrid>
        <w:gridCol w:w="2640"/>
        <w:gridCol w:w="1891"/>
        <w:gridCol w:w="1843"/>
      </w:tblGrid>
      <w:tr w:rsidR="00014C9C" w:rsidRPr="00014C9C" w14:paraId="6ED028FD" w14:textId="77777777" w:rsidTr="008056F5">
        <w:trPr>
          <w:trHeight w:val="288"/>
        </w:trPr>
        <w:tc>
          <w:tcPr>
            <w:tcW w:w="2640" w:type="dxa"/>
            <w:tcBorders>
              <w:top w:val="single" w:sz="4" w:space="0" w:color="979991"/>
              <w:left w:val="single" w:sz="4" w:space="0" w:color="979991"/>
              <w:bottom w:val="nil"/>
              <w:right w:val="nil"/>
            </w:tcBorders>
            <w:shd w:val="clear" w:color="000000" w:fill="0066CC"/>
            <w:hideMark/>
          </w:tcPr>
          <w:p w14:paraId="13B45494"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Gender</w:t>
            </w:r>
          </w:p>
        </w:tc>
        <w:tc>
          <w:tcPr>
            <w:tcW w:w="1891" w:type="dxa"/>
            <w:tcBorders>
              <w:top w:val="single" w:sz="4" w:space="0" w:color="979991"/>
              <w:left w:val="single" w:sz="4" w:space="0" w:color="979991"/>
              <w:bottom w:val="single" w:sz="4" w:space="0" w:color="979991"/>
              <w:right w:val="nil"/>
            </w:tcBorders>
            <w:shd w:val="clear" w:color="000000" w:fill="0066CC"/>
            <w:hideMark/>
          </w:tcPr>
          <w:p w14:paraId="081D64F2"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Avg. Hourly Rate</w:t>
            </w:r>
          </w:p>
        </w:tc>
        <w:tc>
          <w:tcPr>
            <w:tcW w:w="1843" w:type="dxa"/>
            <w:tcBorders>
              <w:top w:val="single" w:sz="4" w:space="0" w:color="979991"/>
              <w:left w:val="single" w:sz="4" w:space="0" w:color="979991"/>
              <w:bottom w:val="single" w:sz="4" w:space="0" w:color="979991"/>
              <w:right w:val="single" w:sz="4" w:space="0" w:color="979991"/>
            </w:tcBorders>
            <w:shd w:val="clear" w:color="000000" w:fill="0066CC"/>
            <w:hideMark/>
          </w:tcPr>
          <w:p w14:paraId="6AB64DB6"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Median Hourly Rate</w:t>
            </w:r>
          </w:p>
        </w:tc>
      </w:tr>
      <w:tr w:rsidR="00014C9C" w:rsidRPr="00014C9C" w14:paraId="6DD74AAE" w14:textId="77777777" w:rsidTr="008056F5">
        <w:trPr>
          <w:trHeight w:val="288"/>
        </w:trPr>
        <w:tc>
          <w:tcPr>
            <w:tcW w:w="2640" w:type="dxa"/>
            <w:tcBorders>
              <w:top w:val="single" w:sz="4" w:space="0" w:color="979991"/>
              <w:left w:val="single" w:sz="4" w:space="0" w:color="979991"/>
              <w:bottom w:val="single" w:sz="4" w:space="0" w:color="979991"/>
              <w:right w:val="nil"/>
            </w:tcBorders>
            <w:shd w:val="clear" w:color="000000" w:fill="0066CC"/>
            <w:hideMark/>
          </w:tcPr>
          <w:p w14:paraId="42C16500"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Male</w:t>
            </w:r>
          </w:p>
        </w:tc>
        <w:tc>
          <w:tcPr>
            <w:tcW w:w="1891" w:type="dxa"/>
            <w:tcBorders>
              <w:top w:val="nil"/>
              <w:left w:val="single" w:sz="4" w:space="0" w:color="979991"/>
              <w:bottom w:val="single" w:sz="4" w:space="0" w:color="979991"/>
              <w:right w:val="nil"/>
            </w:tcBorders>
            <w:shd w:val="clear" w:color="000000" w:fill="FFFFFF"/>
            <w:hideMark/>
          </w:tcPr>
          <w:p w14:paraId="104C8AD8"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15.5700</w:t>
            </w:r>
          </w:p>
        </w:tc>
        <w:tc>
          <w:tcPr>
            <w:tcW w:w="1843" w:type="dxa"/>
            <w:tcBorders>
              <w:top w:val="nil"/>
              <w:left w:val="single" w:sz="4" w:space="0" w:color="979991"/>
              <w:bottom w:val="single" w:sz="4" w:space="0" w:color="979991"/>
              <w:right w:val="single" w:sz="4" w:space="0" w:color="979991"/>
            </w:tcBorders>
            <w:shd w:val="clear" w:color="000000" w:fill="FFFFFF"/>
            <w:hideMark/>
          </w:tcPr>
          <w:p w14:paraId="63772BC7"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13.2000</w:t>
            </w:r>
          </w:p>
        </w:tc>
      </w:tr>
      <w:tr w:rsidR="00014C9C" w:rsidRPr="00014C9C" w14:paraId="69D1271C" w14:textId="77777777" w:rsidTr="008056F5">
        <w:trPr>
          <w:trHeight w:val="288"/>
        </w:trPr>
        <w:tc>
          <w:tcPr>
            <w:tcW w:w="2640" w:type="dxa"/>
            <w:tcBorders>
              <w:top w:val="nil"/>
              <w:left w:val="single" w:sz="4" w:space="0" w:color="979991"/>
              <w:bottom w:val="single" w:sz="4" w:space="0" w:color="979991"/>
              <w:right w:val="nil"/>
            </w:tcBorders>
            <w:shd w:val="clear" w:color="000000" w:fill="0066CC"/>
            <w:hideMark/>
          </w:tcPr>
          <w:p w14:paraId="7758E9CC"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Female</w:t>
            </w:r>
          </w:p>
        </w:tc>
        <w:tc>
          <w:tcPr>
            <w:tcW w:w="1891" w:type="dxa"/>
            <w:tcBorders>
              <w:top w:val="nil"/>
              <w:left w:val="single" w:sz="4" w:space="0" w:color="979991"/>
              <w:bottom w:val="single" w:sz="4" w:space="0" w:color="979991"/>
              <w:right w:val="nil"/>
            </w:tcBorders>
            <w:shd w:val="clear" w:color="000000" w:fill="FFFFFF"/>
            <w:hideMark/>
          </w:tcPr>
          <w:p w14:paraId="290E293A"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14.6200</w:t>
            </w:r>
          </w:p>
        </w:tc>
        <w:tc>
          <w:tcPr>
            <w:tcW w:w="1843" w:type="dxa"/>
            <w:tcBorders>
              <w:top w:val="nil"/>
              <w:left w:val="single" w:sz="4" w:space="0" w:color="979991"/>
              <w:bottom w:val="single" w:sz="4" w:space="0" w:color="979991"/>
              <w:right w:val="single" w:sz="4" w:space="0" w:color="979991"/>
            </w:tcBorders>
            <w:shd w:val="clear" w:color="000000" w:fill="FFFFFF"/>
            <w:hideMark/>
          </w:tcPr>
          <w:p w14:paraId="1F506220"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12.8000</w:t>
            </w:r>
          </w:p>
        </w:tc>
      </w:tr>
      <w:tr w:rsidR="00014C9C" w:rsidRPr="00014C9C" w14:paraId="1CE094EE" w14:textId="77777777" w:rsidTr="008056F5">
        <w:trPr>
          <w:trHeight w:val="288"/>
        </w:trPr>
        <w:tc>
          <w:tcPr>
            <w:tcW w:w="2640" w:type="dxa"/>
            <w:tcBorders>
              <w:top w:val="nil"/>
              <w:left w:val="single" w:sz="4" w:space="0" w:color="979991"/>
              <w:bottom w:val="single" w:sz="4" w:space="0" w:color="979991"/>
              <w:right w:val="nil"/>
            </w:tcBorders>
            <w:shd w:val="clear" w:color="000000" w:fill="0066CC"/>
            <w:hideMark/>
          </w:tcPr>
          <w:p w14:paraId="17D653F0"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Difference</w:t>
            </w:r>
          </w:p>
        </w:tc>
        <w:tc>
          <w:tcPr>
            <w:tcW w:w="1891" w:type="dxa"/>
            <w:tcBorders>
              <w:top w:val="single" w:sz="4" w:space="0" w:color="auto"/>
              <w:left w:val="single" w:sz="4" w:space="0" w:color="auto"/>
              <w:bottom w:val="single" w:sz="4" w:space="0" w:color="auto"/>
              <w:right w:val="single" w:sz="4" w:space="0" w:color="auto"/>
            </w:tcBorders>
            <w:shd w:val="clear" w:color="000000" w:fill="FFFFFF"/>
            <w:hideMark/>
          </w:tcPr>
          <w:p w14:paraId="145ECDD8"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0.9500</w:t>
            </w:r>
          </w:p>
        </w:tc>
        <w:tc>
          <w:tcPr>
            <w:tcW w:w="1843" w:type="dxa"/>
            <w:tcBorders>
              <w:top w:val="single" w:sz="4" w:space="0" w:color="auto"/>
              <w:left w:val="nil"/>
              <w:bottom w:val="single" w:sz="4" w:space="0" w:color="auto"/>
              <w:right w:val="single" w:sz="4" w:space="0" w:color="auto"/>
            </w:tcBorders>
            <w:shd w:val="clear" w:color="000000" w:fill="FFFFFF"/>
            <w:hideMark/>
          </w:tcPr>
          <w:p w14:paraId="140B9F07"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0.4000</w:t>
            </w:r>
          </w:p>
        </w:tc>
      </w:tr>
      <w:tr w:rsidR="00014C9C" w:rsidRPr="00014C9C" w14:paraId="139F59F9" w14:textId="77777777" w:rsidTr="008056F5">
        <w:trPr>
          <w:trHeight w:val="288"/>
        </w:trPr>
        <w:tc>
          <w:tcPr>
            <w:tcW w:w="2640" w:type="dxa"/>
            <w:tcBorders>
              <w:top w:val="nil"/>
              <w:left w:val="single" w:sz="4" w:space="0" w:color="979991"/>
              <w:bottom w:val="single" w:sz="4" w:space="0" w:color="979991"/>
              <w:right w:val="nil"/>
            </w:tcBorders>
            <w:shd w:val="clear" w:color="000000" w:fill="0066CC"/>
            <w:hideMark/>
          </w:tcPr>
          <w:p w14:paraId="6EBE2994" w14:textId="77777777" w:rsidR="00D47C22" w:rsidRPr="00014C9C" w:rsidRDefault="00D47C22" w:rsidP="00D47C22">
            <w:pPr>
              <w:spacing w:after="0" w:line="240" w:lineRule="auto"/>
              <w:rPr>
                <w:rFonts w:ascii="Calibri" w:eastAsia="Times New Roman" w:hAnsi="Calibri" w:cs="Calibri"/>
                <w:b/>
                <w:bCs/>
                <w:color w:val="000000" w:themeColor="text1"/>
                <w:sz w:val="16"/>
                <w:szCs w:val="16"/>
                <w:lang w:eastAsia="en-GB"/>
              </w:rPr>
            </w:pPr>
            <w:r w:rsidRPr="00014C9C">
              <w:rPr>
                <w:rFonts w:ascii="Calibri" w:eastAsia="Times New Roman" w:hAnsi="Calibri" w:cs="Calibri"/>
                <w:b/>
                <w:bCs/>
                <w:color w:val="000000" w:themeColor="text1"/>
                <w:sz w:val="16"/>
                <w:szCs w:val="16"/>
                <w:lang w:eastAsia="en-GB"/>
              </w:rPr>
              <w:t>Pay Gap %</w:t>
            </w:r>
          </w:p>
        </w:tc>
        <w:tc>
          <w:tcPr>
            <w:tcW w:w="1891" w:type="dxa"/>
            <w:tcBorders>
              <w:top w:val="nil"/>
              <w:left w:val="single" w:sz="4" w:space="0" w:color="auto"/>
              <w:bottom w:val="single" w:sz="4" w:space="0" w:color="auto"/>
              <w:right w:val="single" w:sz="4" w:space="0" w:color="auto"/>
            </w:tcBorders>
            <w:shd w:val="clear" w:color="000000" w:fill="FFFFFF"/>
            <w:hideMark/>
          </w:tcPr>
          <w:p w14:paraId="104DF8AC"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6.1014772</w:t>
            </w:r>
          </w:p>
        </w:tc>
        <w:tc>
          <w:tcPr>
            <w:tcW w:w="1843" w:type="dxa"/>
            <w:tcBorders>
              <w:top w:val="nil"/>
              <w:left w:val="nil"/>
              <w:bottom w:val="single" w:sz="4" w:space="0" w:color="auto"/>
              <w:right w:val="single" w:sz="4" w:space="0" w:color="auto"/>
            </w:tcBorders>
            <w:shd w:val="clear" w:color="000000" w:fill="FFFFFF"/>
            <w:hideMark/>
          </w:tcPr>
          <w:p w14:paraId="1A499329" w14:textId="77777777" w:rsidR="00D47C22" w:rsidRPr="00014C9C" w:rsidRDefault="00D47C22" w:rsidP="00D47C22">
            <w:pPr>
              <w:spacing w:after="0" w:line="240" w:lineRule="auto"/>
              <w:jc w:val="right"/>
              <w:rPr>
                <w:rFonts w:ascii="Calibri" w:eastAsia="Times New Roman" w:hAnsi="Calibri" w:cs="Calibri"/>
                <w:color w:val="000000" w:themeColor="text1"/>
                <w:sz w:val="16"/>
                <w:szCs w:val="16"/>
                <w:lang w:eastAsia="en-GB"/>
              </w:rPr>
            </w:pPr>
            <w:r w:rsidRPr="00014C9C">
              <w:rPr>
                <w:rFonts w:ascii="Calibri" w:eastAsia="Times New Roman" w:hAnsi="Calibri" w:cs="Calibri"/>
                <w:color w:val="000000" w:themeColor="text1"/>
                <w:sz w:val="16"/>
                <w:szCs w:val="16"/>
                <w:lang w:eastAsia="en-GB"/>
              </w:rPr>
              <w:t>3.03030303</w:t>
            </w:r>
          </w:p>
        </w:tc>
      </w:tr>
    </w:tbl>
    <w:p w14:paraId="2590A1F8" w14:textId="77777777" w:rsidR="00D47C22" w:rsidRPr="00014C9C" w:rsidRDefault="00D47C22" w:rsidP="004B595F">
      <w:pPr>
        <w:pStyle w:val="Default"/>
        <w:jc w:val="both"/>
        <w:rPr>
          <w:color w:val="000000" w:themeColor="text1"/>
          <w:sz w:val="22"/>
          <w:szCs w:val="22"/>
        </w:rPr>
      </w:pPr>
    </w:p>
    <w:p w14:paraId="79E57857" w14:textId="1F14F530" w:rsidR="00396240" w:rsidRPr="00014C9C" w:rsidRDefault="00CA42F4" w:rsidP="004B595F">
      <w:pPr>
        <w:pStyle w:val="Default"/>
        <w:jc w:val="both"/>
        <w:rPr>
          <w:color w:val="000000" w:themeColor="text1"/>
          <w:sz w:val="22"/>
          <w:szCs w:val="22"/>
        </w:rPr>
      </w:pPr>
      <w:r w:rsidRPr="00014C9C">
        <w:rPr>
          <w:color w:val="000000" w:themeColor="text1"/>
          <w:sz w:val="22"/>
          <w:szCs w:val="22"/>
        </w:rPr>
        <w:t xml:space="preserve">The above table reflects the % </w:t>
      </w:r>
      <w:r w:rsidR="0055646E" w:rsidRPr="00014C9C">
        <w:rPr>
          <w:color w:val="000000" w:themeColor="text1"/>
          <w:sz w:val="22"/>
          <w:szCs w:val="22"/>
        </w:rPr>
        <w:t xml:space="preserve">gender </w:t>
      </w:r>
      <w:r w:rsidRPr="00014C9C">
        <w:rPr>
          <w:color w:val="000000" w:themeColor="text1"/>
          <w:sz w:val="22"/>
          <w:szCs w:val="22"/>
        </w:rPr>
        <w:t>pay gap between male and female</w:t>
      </w:r>
      <w:r w:rsidR="00305CD6" w:rsidRPr="00014C9C">
        <w:rPr>
          <w:color w:val="000000" w:themeColor="text1"/>
          <w:sz w:val="22"/>
          <w:szCs w:val="22"/>
        </w:rPr>
        <w:t xml:space="preserve"> employees </w:t>
      </w:r>
      <w:r w:rsidRPr="00014C9C">
        <w:rPr>
          <w:color w:val="000000" w:themeColor="text1"/>
          <w:sz w:val="22"/>
          <w:szCs w:val="22"/>
        </w:rPr>
        <w:t>based upon average hourly rates</w:t>
      </w:r>
      <w:r w:rsidR="00305CD6" w:rsidRPr="00014C9C">
        <w:rPr>
          <w:color w:val="000000" w:themeColor="text1"/>
          <w:sz w:val="22"/>
          <w:szCs w:val="22"/>
        </w:rPr>
        <w:t xml:space="preserve"> of pay</w:t>
      </w:r>
      <w:r w:rsidRPr="00014C9C">
        <w:rPr>
          <w:color w:val="000000" w:themeColor="text1"/>
          <w:sz w:val="22"/>
          <w:szCs w:val="22"/>
        </w:rPr>
        <w:t xml:space="preserve">. </w:t>
      </w:r>
      <w:r w:rsidR="007C3DAB" w:rsidRPr="00014C9C">
        <w:rPr>
          <w:color w:val="000000" w:themeColor="text1"/>
          <w:sz w:val="22"/>
          <w:szCs w:val="22"/>
        </w:rPr>
        <w:t xml:space="preserve"> </w:t>
      </w:r>
      <w:r w:rsidR="00BE2D24" w:rsidRPr="00014C9C">
        <w:rPr>
          <w:color w:val="000000" w:themeColor="text1"/>
          <w:sz w:val="22"/>
          <w:szCs w:val="22"/>
        </w:rPr>
        <w:t xml:space="preserve">Currently it reflects a </w:t>
      </w:r>
      <w:r w:rsidR="00BE2D24" w:rsidRPr="00014C9C">
        <w:rPr>
          <w:rFonts w:eastAsia="Times New Roman"/>
          <w:color w:val="000000" w:themeColor="text1"/>
          <w:sz w:val="22"/>
          <w:szCs w:val="22"/>
          <w:lang w:eastAsia="en-GB"/>
        </w:rPr>
        <w:t>6.10</w:t>
      </w:r>
      <w:r w:rsidRPr="00014C9C">
        <w:rPr>
          <w:color w:val="000000" w:themeColor="text1"/>
          <w:sz w:val="22"/>
          <w:szCs w:val="22"/>
        </w:rPr>
        <w:t xml:space="preserve">% pay gap which equates to </w:t>
      </w:r>
      <w:r w:rsidR="00BE2D24" w:rsidRPr="00014C9C">
        <w:rPr>
          <w:color w:val="000000" w:themeColor="text1"/>
          <w:sz w:val="22"/>
          <w:szCs w:val="22"/>
        </w:rPr>
        <w:t>£0.95</w:t>
      </w:r>
      <w:r w:rsidRPr="00014C9C">
        <w:rPr>
          <w:color w:val="000000" w:themeColor="text1"/>
          <w:sz w:val="22"/>
          <w:szCs w:val="22"/>
        </w:rPr>
        <w:t xml:space="preserve"> per hour</w:t>
      </w:r>
      <w:r w:rsidR="00305CD6" w:rsidRPr="00014C9C">
        <w:rPr>
          <w:color w:val="000000" w:themeColor="text1"/>
          <w:sz w:val="22"/>
          <w:szCs w:val="22"/>
        </w:rPr>
        <w:t xml:space="preserve"> in favour of male employees</w:t>
      </w:r>
      <w:r w:rsidRPr="00014C9C">
        <w:rPr>
          <w:color w:val="000000" w:themeColor="text1"/>
          <w:sz w:val="22"/>
          <w:szCs w:val="22"/>
        </w:rPr>
        <w:t xml:space="preserve">. </w:t>
      </w:r>
      <w:r w:rsidR="007C3DAB" w:rsidRPr="00014C9C">
        <w:rPr>
          <w:color w:val="000000" w:themeColor="text1"/>
          <w:sz w:val="22"/>
          <w:szCs w:val="22"/>
        </w:rPr>
        <w:t xml:space="preserve"> </w:t>
      </w:r>
      <w:r w:rsidR="00014C9C" w:rsidRPr="00014C9C">
        <w:rPr>
          <w:color w:val="000000" w:themeColor="text1"/>
          <w:sz w:val="22"/>
          <w:szCs w:val="22"/>
        </w:rPr>
        <w:t xml:space="preserve">There has been a slight closing of the gap from last report in 2020 where the gap was 7.67 which equates to £1.18. </w:t>
      </w:r>
      <w:r w:rsidRPr="00014C9C">
        <w:rPr>
          <w:color w:val="000000" w:themeColor="text1"/>
          <w:sz w:val="22"/>
          <w:szCs w:val="22"/>
        </w:rPr>
        <w:t xml:space="preserve">There is </w:t>
      </w:r>
      <w:r w:rsidR="00014C9C" w:rsidRPr="00014C9C">
        <w:rPr>
          <w:color w:val="000000" w:themeColor="text1"/>
          <w:sz w:val="22"/>
          <w:szCs w:val="22"/>
        </w:rPr>
        <w:t xml:space="preserve">a smaller </w:t>
      </w:r>
      <w:r w:rsidRPr="00014C9C">
        <w:rPr>
          <w:color w:val="000000" w:themeColor="text1"/>
          <w:sz w:val="22"/>
          <w:szCs w:val="22"/>
        </w:rPr>
        <w:t xml:space="preserve">gap when comparing the median hourly rate </w:t>
      </w:r>
      <w:r w:rsidR="00305CD6" w:rsidRPr="00014C9C">
        <w:rPr>
          <w:color w:val="000000" w:themeColor="text1"/>
          <w:sz w:val="22"/>
          <w:szCs w:val="22"/>
        </w:rPr>
        <w:t xml:space="preserve">of males and females of </w:t>
      </w:r>
      <w:r w:rsidR="00322BFE" w:rsidRPr="00014C9C">
        <w:rPr>
          <w:color w:val="000000" w:themeColor="text1"/>
          <w:sz w:val="22"/>
          <w:szCs w:val="22"/>
        </w:rPr>
        <w:t>3.03</w:t>
      </w:r>
      <w:r w:rsidR="00F30751" w:rsidRPr="00014C9C">
        <w:rPr>
          <w:color w:val="000000" w:themeColor="text1"/>
          <w:sz w:val="22"/>
          <w:szCs w:val="22"/>
        </w:rPr>
        <w:t>% which equates to £</w:t>
      </w:r>
      <w:r w:rsidR="00322BFE" w:rsidRPr="00014C9C">
        <w:rPr>
          <w:color w:val="000000" w:themeColor="text1"/>
          <w:sz w:val="22"/>
          <w:szCs w:val="22"/>
        </w:rPr>
        <w:t xml:space="preserve">0.40 </w:t>
      </w:r>
      <w:r w:rsidRPr="00014C9C">
        <w:rPr>
          <w:color w:val="000000" w:themeColor="text1"/>
          <w:sz w:val="22"/>
          <w:szCs w:val="22"/>
        </w:rPr>
        <w:t xml:space="preserve">per hour. </w:t>
      </w:r>
    </w:p>
    <w:p w14:paraId="56BDFE9A" w14:textId="6623B288" w:rsidR="00443182" w:rsidRDefault="00443182" w:rsidP="004B595F">
      <w:pPr>
        <w:pStyle w:val="Default"/>
        <w:jc w:val="both"/>
        <w:rPr>
          <w:color w:val="000000" w:themeColor="text1"/>
          <w:sz w:val="22"/>
          <w:szCs w:val="22"/>
        </w:rPr>
      </w:pPr>
    </w:p>
    <w:p w14:paraId="01955C3D" w14:textId="77777777" w:rsidR="00774A63" w:rsidRDefault="00774A63" w:rsidP="004B595F">
      <w:pPr>
        <w:pStyle w:val="Default"/>
        <w:jc w:val="both"/>
        <w:rPr>
          <w:b/>
          <w:color w:val="000000" w:themeColor="text1"/>
        </w:rPr>
      </w:pPr>
    </w:p>
    <w:p w14:paraId="769C50C6" w14:textId="77777777" w:rsidR="00C32127" w:rsidRPr="009B24C8" w:rsidRDefault="00C32127" w:rsidP="004B595F">
      <w:pPr>
        <w:pStyle w:val="Default"/>
        <w:jc w:val="both"/>
        <w:rPr>
          <w:b/>
          <w:color w:val="000000" w:themeColor="text1"/>
        </w:rPr>
      </w:pPr>
      <w:r w:rsidRPr="009B24C8">
        <w:rPr>
          <w:b/>
          <w:color w:val="000000" w:themeColor="text1"/>
        </w:rPr>
        <w:t xml:space="preserve">Gender Pay Gap Medical and Dental </w:t>
      </w:r>
    </w:p>
    <w:p w14:paraId="65D3B34A" w14:textId="7012F936" w:rsidR="00C32127" w:rsidRPr="009B24C8" w:rsidRDefault="00F273E1" w:rsidP="007C3DAB">
      <w:pPr>
        <w:pStyle w:val="Default"/>
        <w:spacing w:after="60"/>
        <w:jc w:val="both"/>
        <w:rPr>
          <w:color w:val="000000" w:themeColor="text1"/>
          <w:sz w:val="22"/>
          <w:szCs w:val="22"/>
        </w:rPr>
      </w:pPr>
      <w:r w:rsidRPr="009B24C8">
        <w:rPr>
          <w:color w:val="000000" w:themeColor="text1"/>
          <w:sz w:val="22"/>
          <w:szCs w:val="22"/>
        </w:rPr>
        <w:t>The table below reflects the</w:t>
      </w:r>
      <w:r w:rsidR="0055646E" w:rsidRPr="009B24C8">
        <w:rPr>
          <w:color w:val="000000" w:themeColor="text1"/>
          <w:sz w:val="22"/>
          <w:szCs w:val="22"/>
        </w:rPr>
        <w:t xml:space="preserve"> 15.2% gender pay gap in </w:t>
      </w:r>
      <w:r w:rsidRPr="009B24C8">
        <w:rPr>
          <w:color w:val="000000" w:themeColor="text1"/>
          <w:sz w:val="22"/>
          <w:szCs w:val="22"/>
        </w:rPr>
        <w:t xml:space="preserve">Medical and Dental average hourly rates </w:t>
      </w:r>
      <w:r w:rsidR="0055646E" w:rsidRPr="009B24C8">
        <w:rPr>
          <w:color w:val="000000" w:themeColor="text1"/>
          <w:sz w:val="22"/>
          <w:szCs w:val="22"/>
        </w:rPr>
        <w:t>which equates to £5.</w:t>
      </w:r>
      <w:r w:rsidR="009B24C8" w:rsidRPr="009B24C8">
        <w:rPr>
          <w:color w:val="000000" w:themeColor="text1"/>
          <w:sz w:val="22"/>
          <w:szCs w:val="22"/>
        </w:rPr>
        <w:t xml:space="preserve">77 which is a light improvement from last report at £5.92. </w:t>
      </w:r>
      <w:r w:rsidR="0055646E" w:rsidRPr="009B24C8">
        <w:rPr>
          <w:color w:val="000000" w:themeColor="text1"/>
          <w:sz w:val="22"/>
          <w:szCs w:val="22"/>
        </w:rPr>
        <w:t xml:space="preserve">The </w:t>
      </w:r>
      <w:r w:rsidRPr="009B24C8">
        <w:rPr>
          <w:color w:val="000000" w:themeColor="text1"/>
          <w:sz w:val="22"/>
          <w:szCs w:val="22"/>
        </w:rPr>
        <w:t>median hourly rates</w:t>
      </w:r>
      <w:r w:rsidR="0055646E" w:rsidRPr="009B24C8">
        <w:rPr>
          <w:color w:val="000000" w:themeColor="text1"/>
          <w:sz w:val="22"/>
          <w:szCs w:val="22"/>
        </w:rPr>
        <w:t xml:space="preserve"> reflect a 22.0% gender pay gap which equates to £8.</w:t>
      </w:r>
      <w:r w:rsidR="009B24C8" w:rsidRPr="009B24C8">
        <w:rPr>
          <w:color w:val="000000" w:themeColor="text1"/>
          <w:sz w:val="22"/>
          <w:szCs w:val="22"/>
        </w:rPr>
        <w:t>98</w:t>
      </w:r>
      <w:r w:rsidR="0055646E" w:rsidRPr="009B24C8">
        <w:rPr>
          <w:color w:val="000000" w:themeColor="text1"/>
          <w:sz w:val="22"/>
          <w:szCs w:val="22"/>
        </w:rPr>
        <w:t>.</w:t>
      </w:r>
    </w:p>
    <w:p w14:paraId="4A776B99" w14:textId="77777777" w:rsidR="00C32127" w:rsidRPr="009B24C8" w:rsidRDefault="00C32127" w:rsidP="004B595F">
      <w:pPr>
        <w:pStyle w:val="Default"/>
        <w:jc w:val="both"/>
        <w:rPr>
          <w:b/>
          <w:color w:val="000000" w:themeColor="text1"/>
        </w:rPr>
      </w:pPr>
    </w:p>
    <w:p w14:paraId="7EC7361D" w14:textId="3B740367" w:rsidR="00D47C22" w:rsidRPr="009B24C8" w:rsidRDefault="00D47C22" w:rsidP="004B595F">
      <w:pPr>
        <w:pStyle w:val="Default"/>
        <w:jc w:val="both"/>
        <w:rPr>
          <w:b/>
          <w:color w:val="000000" w:themeColor="text1"/>
        </w:rPr>
      </w:pPr>
      <w:r w:rsidRPr="009B24C8">
        <w:rPr>
          <w:b/>
          <w:color w:val="000000" w:themeColor="text1"/>
        </w:rPr>
        <w:t>2021</w:t>
      </w:r>
    </w:p>
    <w:tbl>
      <w:tblPr>
        <w:tblW w:w="5780" w:type="dxa"/>
        <w:tblLook w:val="04A0" w:firstRow="1" w:lastRow="0" w:firstColumn="1" w:lastColumn="0" w:noHBand="0" w:noVBand="1"/>
      </w:tblPr>
      <w:tblGrid>
        <w:gridCol w:w="2640"/>
        <w:gridCol w:w="1460"/>
        <w:gridCol w:w="1680"/>
      </w:tblGrid>
      <w:tr w:rsidR="009B24C8" w:rsidRPr="009B24C8" w14:paraId="46EBD304" w14:textId="77777777" w:rsidTr="00D47C22">
        <w:trPr>
          <w:trHeight w:val="288"/>
        </w:trPr>
        <w:tc>
          <w:tcPr>
            <w:tcW w:w="2640" w:type="dxa"/>
            <w:tcBorders>
              <w:top w:val="single" w:sz="4" w:space="0" w:color="979991"/>
              <w:left w:val="single" w:sz="4" w:space="0" w:color="979991"/>
              <w:bottom w:val="nil"/>
              <w:right w:val="nil"/>
            </w:tcBorders>
            <w:shd w:val="clear" w:color="000000" w:fill="0066CC"/>
            <w:hideMark/>
          </w:tcPr>
          <w:p w14:paraId="760AC6DD"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Gender</w:t>
            </w:r>
          </w:p>
        </w:tc>
        <w:tc>
          <w:tcPr>
            <w:tcW w:w="1460" w:type="dxa"/>
            <w:tcBorders>
              <w:top w:val="single" w:sz="4" w:space="0" w:color="979991"/>
              <w:left w:val="single" w:sz="4" w:space="0" w:color="979991"/>
              <w:bottom w:val="single" w:sz="4" w:space="0" w:color="979991"/>
              <w:right w:val="nil"/>
            </w:tcBorders>
            <w:shd w:val="clear" w:color="000000" w:fill="0066CC"/>
            <w:hideMark/>
          </w:tcPr>
          <w:p w14:paraId="167C0D17"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Avg. Hourly Rate</w:t>
            </w:r>
          </w:p>
        </w:tc>
        <w:tc>
          <w:tcPr>
            <w:tcW w:w="1680" w:type="dxa"/>
            <w:tcBorders>
              <w:top w:val="single" w:sz="4" w:space="0" w:color="979991"/>
              <w:left w:val="single" w:sz="4" w:space="0" w:color="979991"/>
              <w:bottom w:val="single" w:sz="4" w:space="0" w:color="979991"/>
              <w:right w:val="single" w:sz="4" w:space="0" w:color="979991"/>
            </w:tcBorders>
            <w:shd w:val="clear" w:color="000000" w:fill="0066CC"/>
            <w:hideMark/>
          </w:tcPr>
          <w:p w14:paraId="300EE820"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Median Hourly Rate</w:t>
            </w:r>
          </w:p>
        </w:tc>
      </w:tr>
      <w:tr w:rsidR="009B24C8" w:rsidRPr="009B24C8" w14:paraId="62131498" w14:textId="77777777" w:rsidTr="00D47C22">
        <w:trPr>
          <w:trHeight w:val="288"/>
        </w:trPr>
        <w:tc>
          <w:tcPr>
            <w:tcW w:w="2640" w:type="dxa"/>
            <w:tcBorders>
              <w:top w:val="single" w:sz="4" w:space="0" w:color="979991"/>
              <w:left w:val="single" w:sz="4" w:space="0" w:color="979991"/>
              <w:bottom w:val="single" w:sz="4" w:space="0" w:color="979991"/>
              <w:right w:val="nil"/>
            </w:tcBorders>
            <w:shd w:val="clear" w:color="000000" w:fill="0066CC"/>
            <w:hideMark/>
          </w:tcPr>
          <w:p w14:paraId="600B0D8D"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Male</w:t>
            </w:r>
          </w:p>
        </w:tc>
        <w:tc>
          <w:tcPr>
            <w:tcW w:w="1460" w:type="dxa"/>
            <w:tcBorders>
              <w:top w:val="nil"/>
              <w:left w:val="single" w:sz="4" w:space="0" w:color="979991"/>
              <w:bottom w:val="single" w:sz="4" w:space="0" w:color="979991"/>
              <w:right w:val="nil"/>
            </w:tcBorders>
            <w:shd w:val="clear" w:color="000000" w:fill="FFFFFF"/>
            <w:hideMark/>
          </w:tcPr>
          <w:p w14:paraId="2313D6E8"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39.6600</w:t>
            </w:r>
          </w:p>
        </w:tc>
        <w:tc>
          <w:tcPr>
            <w:tcW w:w="1680" w:type="dxa"/>
            <w:tcBorders>
              <w:top w:val="nil"/>
              <w:left w:val="single" w:sz="4" w:space="0" w:color="979991"/>
              <w:bottom w:val="single" w:sz="4" w:space="0" w:color="979991"/>
              <w:right w:val="single" w:sz="4" w:space="0" w:color="979991"/>
            </w:tcBorders>
            <w:shd w:val="clear" w:color="000000" w:fill="FFFFFF"/>
            <w:hideMark/>
          </w:tcPr>
          <w:p w14:paraId="4B283F59"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40.5430</w:t>
            </w:r>
          </w:p>
        </w:tc>
      </w:tr>
      <w:tr w:rsidR="009B24C8" w:rsidRPr="009B24C8" w14:paraId="780DA5A1" w14:textId="77777777" w:rsidTr="00D47C22">
        <w:trPr>
          <w:trHeight w:val="288"/>
        </w:trPr>
        <w:tc>
          <w:tcPr>
            <w:tcW w:w="2640" w:type="dxa"/>
            <w:tcBorders>
              <w:top w:val="nil"/>
              <w:left w:val="single" w:sz="4" w:space="0" w:color="979991"/>
              <w:bottom w:val="single" w:sz="4" w:space="0" w:color="979991"/>
              <w:right w:val="nil"/>
            </w:tcBorders>
            <w:shd w:val="clear" w:color="000000" w:fill="0066CC"/>
            <w:hideMark/>
          </w:tcPr>
          <w:p w14:paraId="1109EE34"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Female</w:t>
            </w:r>
          </w:p>
        </w:tc>
        <w:tc>
          <w:tcPr>
            <w:tcW w:w="1460" w:type="dxa"/>
            <w:tcBorders>
              <w:top w:val="nil"/>
              <w:left w:val="single" w:sz="4" w:space="0" w:color="979991"/>
              <w:bottom w:val="single" w:sz="4" w:space="0" w:color="979991"/>
              <w:right w:val="nil"/>
            </w:tcBorders>
            <w:shd w:val="clear" w:color="000000" w:fill="FFFFFF"/>
            <w:hideMark/>
          </w:tcPr>
          <w:p w14:paraId="4503F258"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33.8900</w:t>
            </w:r>
          </w:p>
        </w:tc>
        <w:tc>
          <w:tcPr>
            <w:tcW w:w="1680" w:type="dxa"/>
            <w:tcBorders>
              <w:top w:val="nil"/>
              <w:left w:val="single" w:sz="4" w:space="0" w:color="979991"/>
              <w:bottom w:val="single" w:sz="4" w:space="0" w:color="979991"/>
              <w:right w:val="single" w:sz="4" w:space="0" w:color="979991"/>
            </w:tcBorders>
            <w:shd w:val="clear" w:color="000000" w:fill="FFFFFF"/>
            <w:hideMark/>
          </w:tcPr>
          <w:p w14:paraId="4374EF50"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31.5600</w:t>
            </w:r>
          </w:p>
        </w:tc>
      </w:tr>
      <w:tr w:rsidR="009B24C8" w:rsidRPr="009B24C8" w14:paraId="6FAE6B25" w14:textId="77777777" w:rsidTr="00D47C22">
        <w:trPr>
          <w:trHeight w:val="288"/>
        </w:trPr>
        <w:tc>
          <w:tcPr>
            <w:tcW w:w="2640" w:type="dxa"/>
            <w:tcBorders>
              <w:top w:val="nil"/>
              <w:left w:val="single" w:sz="4" w:space="0" w:color="979991"/>
              <w:bottom w:val="single" w:sz="4" w:space="0" w:color="979991"/>
              <w:right w:val="nil"/>
            </w:tcBorders>
            <w:shd w:val="clear" w:color="000000" w:fill="0066CC"/>
            <w:hideMark/>
          </w:tcPr>
          <w:p w14:paraId="3E97FBF6"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Difference</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14:paraId="67A9EA8D"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5.7700</w:t>
            </w:r>
          </w:p>
        </w:tc>
        <w:tc>
          <w:tcPr>
            <w:tcW w:w="1680" w:type="dxa"/>
            <w:tcBorders>
              <w:top w:val="single" w:sz="4" w:space="0" w:color="auto"/>
              <w:left w:val="nil"/>
              <w:bottom w:val="single" w:sz="4" w:space="0" w:color="auto"/>
              <w:right w:val="single" w:sz="4" w:space="0" w:color="auto"/>
            </w:tcBorders>
            <w:shd w:val="clear" w:color="000000" w:fill="FFFFFF"/>
            <w:hideMark/>
          </w:tcPr>
          <w:p w14:paraId="7C98096C"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8.9830</w:t>
            </w:r>
          </w:p>
        </w:tc>
      </w:tr>
      <w:tr w:rsidR="009B24C8" w:rsidRPr="009B24C8" w14:paraId="0044D6A1" w14:textId="77777777" w:rsidTr="00D47C22">
        <w:trPr>
          <w:trHeight w:val="288"/>
        </w:trPr>
        <w:tc>
          <w:tcPr>
            <w:tcW w:w="2640" w:type="dxa"/>
            <w:tcBorders>
              <w:top w:val="nil"/>
              <w:left w:val="single" w:sz="4" w:space="0" w:color="979991"/>
              <w:bottom w:val="single" w:sz="4" w:space="0" w:color="979991"/>
              <w:right w:val="nil"/>
            </w:tcBorders>
            <w:shd w:val="clear" w:color="000000" w:fill="0066CC"/>
            <w:hideMark/>
          </w:tcPr>
          <w:p w14:paraId="11514E79"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Pay Gap %</w:t>
            </w:r>
          </w:p>
        </w:tc>
        <w:tc>
          <w:tcPr>
            <w:tcW w:w="1460" w:type="dxa"/>
            <w:tcBorders>
              <w:top w:val="nil"/>
              <w:left w:val="single" w:sz="4" w:space="0" w:color="auto"/>
              <w:bottom w:val="single" w:sz="4" w:space="0" w:color="auto"/>
              <w:right w:val="single" w:sz="4" w:space="0" w:color="auto"/>
            </w:tcBorders>
            <w:shd w:val="clear" w:color="000000" w:fill="FFFFFF"/>
            <w:hideMark/>
          </w:tcPr>
          <w:p w14:paraId="773C3E50"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14.54866364</w:t>
            </w:r>
          </w:p>
        </w:tc>
        <w:tc>
          <w:tcPr>
            <w:tcW w:w="1680" w:type="dxa"/>
            <w:tcBorders>
              <w:top w:val="nil"/>
              <w:left w:val="nil"/>
              <w:bottom w:val="single" w:sz="4" w:space="0" w:color="auto"/>
              <w:right w:val="single" w:sz="4" w:space="0" w:color="auto"/>
            </w:tcBorders>
            <w:shd w:val="clear" w:color="000000" w:fill="FFFFFF"/>
            <w:hideMark/>
          </w:tcPr>
          <w:p w14:paraId="5D2F7268"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22.15672249</w:t>
            </w:r>
          </w:p>
        </w:tc>
      </w:tr>
    </w:tbl>
    <w:p w14:paraId="634B6345" w14:textId="77777777" w:rsidR="00D47C22" w:rsidRDefault="00D47C22" w:rsidP="004B595F">
      <w:pPr>
        <w:pStyle w:val="Default"/>
        <w:jc w:val="both"/>
        <w:rPr>
          <w:b/>
          <w:color w:val="000000" w:themeColor="text1"/>
        </w:rPr>
      </w:pPr>
    </w:p>
    <w:p w14:paraId="74AEBFFE" w14:textId="77777777" w:rsidR="001F3080" w:rsidRPr="009B24C8" w:rsidRDefault="001F3080" w:rsidP="001F3080">
      <w:pPr>
        <w:pStyle w:val="Default"/>
        <w:jc w:val="both"/>
        <w:rPr>
          <w:b/>
          <w:color w:val="000000" w:themeColor="text1"/>
        </w:rPr>
      </w:pPr>
      <w:r w:rsidRPr="009B24C8">
        <w:rPr>
          <w:b/>
          <w:color w:val="000000" w:themeColor="text1"/>
        </w:rPr>
        <w:t xml:space="preserve">Gender Pay Gap Consultants </w:t>
      </w:r>
    </w:p>
    <w:p w14:paraId="1E2E4217" w14:textId="7DDCB4E6" w:rsidR="00D47C22" w:rsidRPr="009B24C8" w:rsidRDefault="0055646E" w:rsidP="001F3080">
      <w:pPr>
        <w:pStyle w:val="Default"/>
        <w:spacing w:after="60"/>
        <w:jc w:val="both"/>
        <w:rPr>
          <w:color w:val="000000" w:themeColor="text1"/>
          <w:sz w:val="22"/>
          <w:szCs w:val="22"/>
        </w:rPr>
      </w:pPr>
      <w:r w:rsidRPr="009B24C8">
        <w:rPr>
          <w:color w:val="000000" w:themeColor="text1"/>
          <w:sz w:val="22"/>
          <w:szCs w:val="22"/>
        </w:rPr>
        <w:t>The table below reflects the gender pay gap 7.</w:t>
      </w:r>
      <w:r w:rsidR="009B24C8" w:rsidRPr="009B24C8">
        <w:rPr>
          <w:color w:val="000000" w:themeColor="text1"/>
          <w:sz w:val="22"/>
          <w:szCs w:val="22"/>
        </w:rPr>
        <w:t>28</w:t>
      </w:r>
      <w:r w:rsidRPr="009B24C8">
        <w:rPr>
          <w:color w:val="000000" w:themeColor="text1"/>
          <w:sz w:val="22"/>
          <w:szCs w:val="22"/>
        </w:rPr>
        <w:t xml:space="preserve">% for </w:t>
      </w:r>
      <w:r w:rsidR="0092601B" w:rsidRPr="009B24C8">
        <w:rPr>
          <w:color w:val="000000" w:themeColor="text1"/>
          <w:sz w:val="22"/>
          <w:szCs w:val="22"/>
        </w:rPr>
        <w:t>consultants</w:t>
      </w:r>
      <w:r w:rsidRPr="009B24C8">
        <w:rPr>
          <w:color w:val="000000" w:themeColor="text1"/>
          <w:sz w:val="22"/>
          <w:szCs w:val="22"/>
        </w:rPr>
        <w:t xml:space="preserve"> when comparing average hourly rates which equates to £3.</w:t>
      </w:r>
      <w:r w:rsidR="009B24C8" w:rsidRPr="009B24C8">
        <w:rPr>
          <w:color w:val="000000" w:themeColor="text1"/>
          <w:sz w:val="22"/>
          <w:szCs w:val="22"/>
        </w:rPr>
        <w:t>81</w:t>
      </w:r>
      <w:r w:rsidRPr="009B24C8">
        <w:rPr>
          <w:color w:val="000000" w:themeColor="text1"/>
          <w:sz w:val="22"/>
          <w:szCs w:val="22"/>
        </w:rPr>
        <w:t xml:space="preserve"> per hour. </w:t>
      </w:r>
      <w:r w:rsidR="009B24C8" w:rsidRPr="009B24C8">
        <w:rPr>
          <w:color w:val="000000" w:themeColor="text1"/>
          <w:sz w:val="22"/>
          <w:szCs w:val="22"/>
        </w:rPr>
        <w:t xml:space="preserve"> This is a slight improvement </w:t>
      </w:r>
      <w:r w:rsidR="0092601B" w:rsidRPr="009B24C8">
        <w:rPr>
          <w:color w:val="000000" w:themeColor="text1"/>
          <w:sz w:val="22"/>
          <w:szCs w:val="22"/>
        </w:rPr>
        <w:t>widening</w:t>
      </w:r>
      <w:r w:rsidR="009B24C8" w:rsidRPr="009B24C8">
        <w:rPr>
          <w:color w:val="000000" w:themeColor="text1"/>
          <w:sz w:val="22"/>
          <w:szCs w:val="22"/>
        </w:rPr>
        <w:t xml:space="preserve"> of the gap from last report which was 7.19</w:t>
      </w:r>
      <w:r w:rsidR="0092601B" w:rsidRPr="009B24C8">
        <w:rPr>
          <w:color w:val="000000" w:themeColor="text1"/>
          <w:sz w:val="22"/>
          <w:szCs w:val="22"/>
        </w:rPr>
        <w:t>% average</w:t>
      </w:r>
      <w:r w:rsidR="009B24C8" w:rsidRPr="009B24C8">
        <w:rPr>
          <w:color w:val="000000" w:themeColor="text1"/>
          <w:sz w:val="22"/>
          <w:szCs w:val="22"/>
        </w:rPr>
        <w:t xml:space="preserve"> hourly rate. </w:t>
      </w:r>
      <w:r w:rsidRPr="009B24C8">
        <w:rPr>
          <w:color w:val="000000" w:themeColor="text1"/>
          <w:sz w:val="22"/>
          <w:szCs w:val="22"/>
        </w:rPr>
        <w:t xml:space="preserve">The gender pay gap for consultants based upon the median hourly rate is </w:t>
      </w:r>
      <w:r w:rsidR="009B24C8" w:rsidRPr="009B24C8">
        <w:rPr>
          <w:color w:val="000000" w:themeColor="text1"/>
          <w:sz w:val="22"/>
          <w:szCs w:val="22"/>
        </w:rPr>
        <w:t>8.85</w:t>
      </w:r>
      <w:r w:rsidRPr="009B24C8">
        <w:rPr>
          <w:color w:val="000000" w:themeColor="text1"/>
          <w:sz w:val="22"/>
          <w:szCs w:val="22"/>
        </w:rPr>
        <w:t>% which is equivalent to £</w:t>
      </w:r>
      <w:r w:rsidR="00BE2D24" w:rsidRPr="009B24C8">
        <w:rPr>
          <w:color w:val="000000" w:themeColor="text1"/>
          <w:sz w:val="22"/>
          <w:szCs w:val="22"/>
        </w:rPr>
        <w:t>4.52</w:t>
      </w:r>
      <w:r w:rsidRPr="009B24C8">
        <w:rPr>
          <w:color w:val="000000" w:themeColor="text1"/>
          <w:sz w:val="22"/>
          <w:szCs w:val="22"/>
        </w:rPr>
        <w:t xml:space="preserve">. </w:t>
      </w:r>
    </w:p>
    <w:p w14:paraId="0EF53B0E" w14:textId="2CFA8DE4" w:rsidR="001F3080" w:rsidRPr="009B24C8" w:rsidRDefault="00D47C22" w:rsidP="001F3080">
      <w:pPr>
        <w:pStyle w:val="Default"/>
        <w:jc w:val="both"/>
        <w:rPr>
          <w:b/>
          <w:color w:val="000000" w:themeColor="text1"/>
        </w:rPr>
      </w:pPr>
      <w:r w:rsidRPr="009B24C8">
        <w:rPr>
          <w:b/>
          <w:color w:val="000000" w:themeColor="text1"/>
        </w:rPr>
        <w:t>2021</w:t>
      </w:r>
    </w:p>
    <w:tbl>
      <w:tblPr>
        <w:tblW w:w="5780" w:type="dxa"/>
        <w:tblLook w:val="04A0" w:firstRow="1" w:lastRow="0" w:firstColumn="1" w:lastColumn="0" w:noHBand="0" w:noVBand="1"/>
      </w:tblPr>
      <w:tblGrid>
        <w:gridCol w:w="2640"/>
        <w:gridCol w:w="1460"/>
        <w:gridCol w:w="1680"/>
      </w:tblGrid>
      <w:tr w:rsidR="009B24C8" w:rsidRPr="009B24C8" w14:paraId="090A5396" w14:textId="77777777" w:rsidTr="00D47C22">
        <w:trPr>
          <w:trHeight w:val="288"/>
        </w:trPr>
        <w:tc>
          <w:tcPr>
            <w:tcW w:w="2640" w:type="dxa"/>
            <w:tcBorders>
              <w:top w:val="single" w:sz="4" w:space="0" w:color="979991"/>
              <w:left w:val="single" w:sz="4" w:space="0" w:color="979991"/>
              <w:bottom w:val="nil"/>
              <w:right w:val="nil"/>
            </w:tcBorders>
            <w:shd w:val="clear" w:color="000000" w:fill="0066CC"/>
            <w:hideMark/>
          </w:tcPr>
          <w:p w14:paraId="5416D34A"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Gender</w:t>
            </w:r>
          </w:p>
        </w:tc>
        <w:tc>
          <w:tcPr>
            <w:tcW w:w="1460" w:type="dxa"/>
            <w:tcBorders>
              <w:top w:val="single" w:sz="4" w:space="0" w:color="979991"/>
              <w:left w:val="single" w:sz="4" w:space="0" w:color="979991"/>
              <w:bottom w:val="single" w:sz="4" w:space="0" w:color="979991"/>
              <w:right w:val="nil"/>
            </w:tcBorders>
            <w:shd w:val="clear" w:color="000000" w:fill="0066CC"/>
            <w:hideMark/>
          </w:tcPr>
          <w:p w14:paraId="0AB4981A"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Avg. Hourly Rate</w:t>
            </w:r>
          </w:p>
        </w:tc>
        <w:tc>
          <w:tcPr>
            <w:tcW w:w="1680" w:type="dxa"/>
            <w:tcBorders>
              <w:top w:val="single" w:sz="4" w:space="0" w:color="979991"/>
              <w:left w:val="single" w:sz="4" w:space="0" w:color="979991"/>
              <w:bottom w:val="single" w:sz="4" w:space="0" w:color="979991"/>
              <w:right w:val="single" w:sz="4" w:space="0" w:color="979991"/>
            </w:tcBorders>
            <w:shd w:val="clear" w:color="000000" w:fill="0066CC"/>
            <w:hideMark/>
          </w:tcPr>
          <w:p w14:paraId="4D3BC53B"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Median Hourly Rate</w:t>
            </w:r>
          </w:p>
        </w:tc>
      </w:tr>
      <w:tr w:rsidR="009B24C8" w:rsidRPr="009B24C8" w14:paraId="1940EA16" w14:textId="77777777" w:rsidTr="00D47C22">
        <w:trPr>
          <w:trHeight w:val="288"/>
        </w:trPr>
        <w:tc>
          <w:tcPr>
            <w:tcW w:w="2640" w:type="dxa"/>
            <w:tcBorders>
              <w:top w:val="single" w:sz="4" w:space="0" w:color="979991"/>
              <w:left w:val="single" w:sz="4" w:space="0" w:color="979991"/>
              <w:bottom w:val="single" w:sz="4" w:space="0" w:color="979991"/>
              <w:right w:val="nil"/>
            </w:tcBorders>
            <w:shd w:val="clear" w:color="000000" w:fill="0066CC"/>
            <w:hideMark/>
          </w:tcPr>
          <w:p w14:paraId="6C354B3A"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Male</w:t>
            </w:r>
          </w:p>
        </w:tc>
        <w:tc>
          <w:tcPr>
            <w:tcW w:w="1460" w:type="dxa"/>
            <w:tcBorders>
              <w:top w:val="nil"/>
              <w:left w:val="single" w:sz="4" w:space="0" w:color="979991"/>
              <w:bottom w:val="single" w:sz="4" w:space="0" w:color="979991"/>
              <w:right w:val="nil"/>
            </w:tcBorders>
            <w:shd w:val="clear" w:color="000000" w:fill="FFFFFF"/>
            <w:hideMark/>
          </w:tcPr>
          <w:p w14:paraId="5393D094"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52.2800</w:t>
            </w:r>
          </w:p>
        </w:tc>
        <w:tc>
          <w:tcPr>
            <w:tcW w:w="1680" w:type="dxa"/>
            <w:tcBorders>
              <w:top w:val="nil"/>
              <w:left w:val="single" w:sz="4" w:space="0" w:color="979991"/>
              <w:bottom w:val="single" w:sz="4" w:space="0" w:color="979991"/>
              <w:right w:val="single" w:sz="4" w:space="0" w:color="979991"/>
            </w:tcBorders>
            <w:shd w:val="clear" w:color="000000" w:fill="FFFFFF"/>
            <w:hideMark/>
          </w:tcPr>
          <w:p w14:paraId="68B595CE"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51.0200</w:t>
            </w:r>
          </w:p>
        </w:tc>
      </w:tr>
      <w:tr w:rsidR="009B24C8" w:rsidRPr="009B24C8" w14:paraId="4592DDBF" w14:textId="77777777" w:rsidTr="00D47C22">
        <w:trPr>
          <w:trHeight w:val="288"/>
        </w:trPr>
        <w:tc>
          <w:tcPr>
            <w:tcW w:w="2640" w:type="dxa"/>
            <w:tcBorders>
              <w:top w:val="nil"/>
              <w:left w:val="single" w:sz="4" w:space="0" w:color="979991"/>
              <w:bottom w:val="single" w:sz="4" w:space="0" w:color="979991"/>
              <w:right w:val="nil"/>
            </w:tcBorders>
            <w:shd w:val="clear" w:color="000000" w:fill="0066CC"/>
            <w:hideMark/>
          </w:tcPr>
          <w:p w14:paraId="6A611732"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Female</w:t>
            </w:r>
          </w:p>
        </w:tc>
        <w:tc>
          <w:tcPr>
            <w:tcW w:w="1460" w:type="dxa"/>
            <w:tcBorders>
              <w:top w:val="nil"/>
              <w:left w:val="single" w:sz="4" w:space="0" w:color="979991"/>
              <w:bottom w:val="single" w:sz="4" w:space="0" w:color="979991"/>
              <w:right w:val="nil"/>
            </w:tcBorders>
            <w:shd w:val="clear" w:color="000000" w:fill="FFFFFF"/>
            <w:hideMark/>
          </w:tcPr>
          <w:p w14:paraId="29C3C4C3"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48.4700</w:t>
            </w:r>
          </w:p>
        </w:tc>
        <w:tc>
          <w:tcPr>
            <w:tcW w:w="1680" w:type="dxa"/>
            <w:tcBorders>
              <w:top w:val="nil"/>
              <w:left w:val="single" w:sz="4" w:space="0" w:color="979991"/>
              <w:bottom w:val="single" w:sz="4" w:space="0" w:color="979991"/>
              <w:right w:val="single" w:sz="4" w:space="0" w:color="979991"/>
            </w:tcBorders>
            <w:shd w:val="clear" w:color="000000" w:fill="FFFFFF"/>
            <w:hideMark/>
          </w:tcPr>
          <w:p w14:paraId="56604062"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46.5000</w:t>
            </w:r>
          </w:p>
        </w:tc>
      </w:tr>
      <w:tr w:rsidR="009B24C8" w:rsidRPr="009B24C8" w14:paraId="7F1B37F2" w14:textId="77777777" w:rsidTr="00D47C22">
        <w:trPr>
          <w:trHeight w:val="288"/>
        </w:trPr>
        <w:tc>
          <w:tcPr>
            <w:tcW w:w="2640" w:type="dxa"/>
            <w:tcBorders>
              <w:top w:val="nil"/>
              <w:left w:val="single" w:sz="4" w:space="0" w:color="979991"/>
              <w:bottom w:val="single" w:sz="4" w:space="0" w:color="979991"/>
              <w:right w:val="nil"/>
            </w:tcBorders>
            <w:shd w:val="clear" w:color="000000" w:fill="0066CC"/>
            <w:hideMark/>
          </w:tcPr>
          <w:p w14:paraId="2E51C2AD"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Difference</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14:paraId="11A63BF8"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3.8100</w:t>
            </w:r>
          </w:p>
        </w:tc>
        <w:tc>
          <w:tcPr>
            <w:tcW w:w="1680" w:type="dxa"/>
            <w:tcBorders>
              <w:top w:val="single" w:sz="4" w:space="0" w:color="auto"/>
              <w:left w:val="nil"/>
              <w:bottom w:val="single" w:sz="4" w:space="0" w:color="auto"/>
              <w:right w:val="single" w:sz="4" w:space="0" w:color="auto"/>
            </w:tcBorders>
            <w:shd w:val="clear" w:color="000000" w:fill="FFFFFF"/>
            <w:hideMark/>
          </w:tcPr>
          <w:p w14:paraId="315759C2"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4.5200</w:t>
            </w:r>
          </w:p>
        </w:tc>
      </w:tr>
      <w:tr w:rsidR="009B24C8" w:rsidRPr="009B24C8" w14:paraId="79397997" w14:textId="77777777" w:rsidTr="00D47C22">
        <w:trPr>
          <w:trHeight w:val="288"/>
        </w:trPr>
        <w:tc>
          <w:tcPr>
            <w:tcW w:w="2640" w:type="dxa"/>
            <w:tcBorders>
              <w:top w:val="nil"/>
              <w:left w:val="single" w:sz="4" w:space="0" w:color="979991"/>
              <w:bottom w:val="single" w:sz="4" w:space="0" w:color="979991"/>
              <w:right w:val="nil"/>
            </w:tcBorders>
            <w:shd w:val="clear" w:color="000000" w:fill="0066CC"/>
            <w:hideMark/>
          </w:tcPr>
          <w:p w14:paraId="523E4243" w14:textId="77777777" w:rsidR="00D47C22" w:rsidRPr="009B24C8" w:rsidRDefault="00D47C22" w:rsidP="00D47C22">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Pay Gap %</w:t>
            </w:r>
          </w:p>
        </w:tc>
        <w:tc>
          <w:tcPr>
            <w:tcW w:w="1460" w:type="dxa"/>
            <w:tcBorders>
              <w:top w:val="nil"/>
              <w:left w:val="single" w:sz="4" w:space="0" w:color="auto"/>
              <w:bottom w:val="single" w:sz="4" w:space="0" w:color="auto"/>
              <w:right w:val="single" w:sz="4" w:space="0" w:color="auto"/>
            </w:tcBorders>
            <w:shd w:val="clear" w:color="000000" w:fill="FFFFFF"/>
            <w:hideMark/>
          </w:tcPr>
          <w:p w14:paraId="3980EE37"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7.287681714</w:t>
            </w:r>
          </w:p>
        </w:tc>
        <w:tc>
          <w:tcPr>
            <w:tcW w:w="1680" w:type="dxa"/>
            <w:tcBorders>
              <w:top w:val="nil"/>
              <w:left w:val="nil"/>
              <w:bottom w:val="single" w:sz="4" w:space="0" w:color="auto"/>
              <w:right w:val="single" w:sz="4" w:space="0" w:color="auto"/>
            </w:tcBorders>
            <w:shd w:val="clear" w:color="000000" w:fill="FFFFFF"/>
            <w:hideMark/>
          </w:tcPr>
          <w:p w14:paraId="223F80B6" w14:textId="77777777" w:rsidR="00D47C22" w:rsidRPr="009B24C8" w:rsidRDefault="00D47C22" w:rsidP="00D47C22">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8.859270874</w:t>
            </w:r>
          </w:p>
        </w:tc>
      </w:tr>
    </w:tbl>
    <w:p w14:paraId="708212C9" w14:textId="77777777" w:rsidR="00D47C22" w:rsidRPr="009B24C8" w:rsidRDefault="00D47C22" w:rsidP="001F3080">
      <w:pPr>
        <w:pStyle w:val="Default"/>
        <w:jc w:val="both"/>
        <w:rPr>
          <w:b/>
          <w:color w:val="000000" w:themeColor="text1"/>
        </w:rPr>
      </w:pPr>
    </w:p>
    <w:p w14:paraId="6BEA7F9B" w14:textId="77777777" w:rsidR="00D47C22" w:rsidRPr="009B24C8" w:rsidRDefault="00D47C22" w:rsidP="004B595F">
      <w:pPr>
        <w:pStyle w:val="Default"/>
        <w:jc w:val="both"/>
        <w:rPr>
          <w:b/>
          <w:color w:val="000000" w:themeColor="text1"/>
        </w:rPr>
      </w:pPr>
    </w:p>
    <w:p w14:paraId="29E1DF99" w14:textId="77777777" w:rsidR="008056F5" w:rsidRDefault="008056F5" w:rsidP="004B595F">
      <w:pPr>
        <w:pStyle w:val="Default"/>
        <w:jc w:val="both"/>
        <w:rPr>
          <w:b/>
          <w:color w:val="000000" w:themeColor="text1"/>
        </w:rPr>
      </w:pPr>
    </w:p>
    <w:p w14:paraId="594BC8EC" w14:textId="77777777" w:rsidR="008056F5" w:rsidRDefault="008056F5" w:rsidP="004B595F">
      <w:pPr>
        <w:pStyle w:val="Default"/>
        <w:jc w:val="both"/>
        <w:rPr>
          <w:b/>
          <w:color w:val="000000" w:themeColor="text1"/>
        </w:rPr>
      </w:pPr>
    </w:p>
    <w:p w14:paraId="4B67E57E" w14:textId="77777777" w:rsidR="008056F5" w:rsidRDefault="008056F5" w:rsidP="004B595F">
      <w:pPr>
        <w:pStyle w:val="Default"/>
        <w:jc w:val="both"/>
        <w:rPr>
          <w:b/>
          <w:color w:val="000000" w:themeColor="text1"/>
        </w:rPr>
      </w:pPr>
    </w:p>
    <w:p w14:paraId="6BDBF1DB" w14:textId="77777777" w:rsidR="008056F5" w:rsidRDefault="008056F5" w:rsidP="004B595F">
      <w:pPr>
        <w:pStyle w:val="Default"/>
        <w:jc w:val="both"/>
        <w:rPr>
          <w:b/>
          <w:color w:val="000000" w:themeColor="text1"/>
        </w:rPr>
      </w:pPr>
    </w:p>
    <w:p w14:paraId="6FDA4BA7" w14:textId="77777777" w:rsidR="008056F5" w:rsidRDefault="008056F5" w:rsidP="004B595F">
      <w:pPr>
        <w:pStyle w:val="Default"/>
        <w:jc w:val="both"/>
        <w:rPr>
          <w:b/>
          <w:color w:val="000000" w:themeColor="text1"/>
        </w:rPr>
      </w:pPr>
    </w:p>
    <w:p w14:paraId="2495317E" w14:textId="77777777" w:rsidR="008056F5" w:rsidRDefault="008056F5" w:rsidP="004B595F">
      <w:pPr>
        <w:pStyle w:val="Default"/>
        <w:jc w:val="both"/>
        <w:rPr>
          <w:b/>
          <w:color w:val="000000" w:themeColor="text1"/>
        </w:rPr>
      </w:pPr>
    </w:p>
    <w:p w14:paraId="0A9870F0" w14:textId="77777777" w:rsidR="008056F5" w:rsidRDefault="008056F5" w:rsidP="004B595F">
      <w:pPr>
        <w:pStyle w:val="Default"/>
        <w:jc w:val="both"/>
        <w:rPr>
          <w:b/>
          <w:color w:val="000000" w:themeColor="text1"/>
        </w:rPr>
      </w:pPr>
    </w:p>
    <w:p w14:paraId="70E75436" w14:textId="46D89313" w:rsidR="00305CD6" w:rsidRDefault="00305CD6" w:rsidP="004B595F">
      <w:pPr>
        <w:pStyle w:val="Default"/>
        <w:jc w:val="both"/>
        <w:rPr>
          <w:b/>
          <w:color w:val="000000" w:themeColor="text1"/>
        </w:rPr>
      </w:pPr>
      <w:r>
        <w:rPr>
          <w:b/>
          <w:color w:val="000000" w:themeColor="text1"/>
        </w:rPr>
        <w:lastRenderedPageBreak/>
        <w:t xml:space="preserve">Proportion of Males and Females receiving a </w:t>
      </w:r>
      <w:r w:rsidR="005B50F0">
        <w:rPr>
          <w:b/>
          <w:color w:val="000000" w:themeColor="text1"/>
        </w:rPr>
        <w:t xml:space="preserve">Clinical Excellence Award </w:t>
      </w:r>
      <w:r>
        <w:rPr>
          <w:b/>
          <w:color w:val="000000" w:themeColor="text1"/>
        </w:rPr>
        <w:t>bonus payment</w:t>
      </w:r>
    </w:p>
    <w:p w14:paraId="75968A6F" w14:textId="162E3401" w:rsidR="005561B5" w:rsidRPr="009B24C8" w:rsidRDefault="005561B5" w:rsidP="007C3DAB">
      <w:pPr>
        <w:pStyle w:val="Default"/>
        <w:spacing w:after="60"/>
        <w:jc w:val="both"/>
        <w:rPr>
          <w:color w:val="000000" w:themeColor="text1"/>
          <w:sz w:val="22"/>
          <w:szCs w:val="22"/>
        </w:rPr>
      </w:pPr>
      <w:r w:rsidRPr="009B24C8">
        <w:rPr>
          <w:color w:val="000000" w:themeColor="text1"/>
          <w:sz w:val="22"/>
          <w:szCs w:val="22"/>
        </w:rPr>
        <w:t xml:space="preserve">Whilst technically all </w:t>
      </w:r>
      <w:r w:rsidR="00560D42" w:rsidRPr="009B24C8">
        <w:rPr>
          <w:color w:val="000000" w:themeColor="text1"/>
          <w:sz w:val="22"/>
          <w:szCs w:val="22"/>
        </w:rPr>
        <w:t xml:space="preserve">our </w:t>
      </w:r>
      <w:r w:rsidRPr="009B24C8">
        <w:rPr>
          <w:color w:val="000000" w:themeColor="text1"/>
          <w:sz w:val="22"/>
          <w:szCs w:val="22"/>
        </w:rPr>
        <w:t xml:space="preserve">staff </w:t>
      </w:r>
      <w:r w:rsidR="00CC37EB" w:rsidRPr="009B24C8">
        <w:rPr>
          <w:color w:val="000000" w:themeColor="text1"/>
          <w:sz w:val="22"/>
          <w:szCs w:val="22"/>
        </w:rPr>
        <w:t>6</w:t>
      </w:r>
      <w:r w:rsidR="009B24C8" w:rsidRPr="009B24C8">
        <w:rPr>
          <w:color w:val="000000" w:themeColor="text1"/>
          <w:sz w:val="22"/>
          <w:szCs w:val="22"/>
        </w:rPr>
        <w:t>784</w:t>
      </w:r>
      <w:r w:rsidR="00560D42" w:rsidRPr="009B24C8">
        <w:rPr>
          <w:color w:val="000000" w:themeColor="text1"/>
          <w:sz w:val="22"/>
          <w:szCs w:val="22"/>
        </w:rPr>
        <w:t xml:space="preserve"> staff including AFC </w:t>
      </w:r>
      <w:r w:rsidRPr="009B24C8">
        <w:rPr>
          <w:color w:val="000000" w:themeColor="text1"/>
          <w:sz w:val="22"/>
          <w:szCs w:val="22"/>
        </w:rPr>
        <w:t xml:space="preserve">are relevant to receive bonuses the Clinical Excellence Award is applied to </w:t>
      </w:r>
      <w:r w:rsidR="0092601B" w:rsidRPr="009B24C8">
        <w:rPr>
          <w:color w:val="000000" w:themeColor="text1"/>
          <w:sz w:val="22"/>
          <w:szCs w:val="22"/>
        </w:rPr>
        <w:t>consultants</w:t>
      </w:r>
      <w:r w:rsidRPr="009B24C8">
        <w:rPr>
          <w:color w:val="000000" w:themeColor="text1"/>
          <w:sz w:val="22"/>
          <w:szCs w:val="22"/>
        </w:rPr>
        <w:t xml:space="preserve"> only. </w:t>
      </w:r>
    </w:p>
    <w:p w14:paraId="72C4E989" w14:textId="4B8E8344" w:rsidR="00774A63" w:rsidRDefault="00774A63" w:rsidP="004B595F">
      <w:pPr>
        <w:pStyle w:val="Default"/>
        <w:jc w:val="both"/>
        <w:rPr>
          <w:b/>
          <w:color w:val="000000" w:themeColor="text1"/>
          <w:sz w:val="22"/>
          <w:szCs w:val="22"/>
        </w:rPr>
      </w:pPr>
      <w:r w:rsidRPr="00774A63">
        <w:rPr>
          <w:b/>
          <w:color w:val="000000" w:themeColor="text1"/>
          <w:sz w:val="22"/>
          <w:szCs w:val="22"/>
        </w:rPr>
        <w:t>2021</w:t>
      </w:r>
    </w:p>
    <w:tbl>
      <w:tblPr>
        <w:tblW w:w="4815" w:type="dxa"/>
        <w:tblLook w:val="04A0" w:firstRow="1" w:lastRow="0" w:firstColumn="1" w:lastColumn="0" w:noHBand="0" w:noVBand="1"/>
      </w:tblPr>
      <w:tblGrid>
        <w:gridCol w:w="708"/>
        <w:gridCol w:w="1839"/>
        <w:gridCol w:w="1276"/>
        <w:gridCol w:w="992"/>
      </w:tblGrid>
      <w:tr w:rsidR="00774A63" w:rsidRPr="00774A63" w14:paraId="070987CC" w14:textId="77777777" w:rsidTr="00774A63">
        <w:trPr>
          <w:trHeight w:val="408"/>
        </w:trPr>
        <w:tc>
          <w:tcPr>
            <w:tcW w:w="708" w:type="dxa"/>
            <w:tcBorders>
              <w:top w:val="nil"/>
              <w:left w:val="single" w:sz="4" w:space="0" w:color="auto"/>
              <w:bottom w:val="single" w:sz="4" w:space="0" w:color="auto"/>
              <w:right w:val="single" w:sz="4" w:space="0" w:color="auto"/>
            </w:tcBorders>
            <w:shd w:val="clear" w:color="000000" w:fill="0066CC"/>
            <w:hideMark/>
          </w:tcPr>
          <w:p w14:paraId="073A4BC2"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Gender</w:t>
            </w:r>
          </w:p>
        </w:tc>
        <w:tc>
          <w:tcPr>
            <w:tcW w:w="1839" w:type="dxa"/>
            <w:tcBorders>
              <w:top w:val="nil"/>
              <w:left w:val="nil"/>
              <w:bottom w:val="single" w:sz="4" w:space="0" w:color="auto"/>
              <w:right w:val="single" w:sz="4" w:space="0" w:color="auto"/>
            </w:tcBorders>
            <w:shd w:val="clear" w:color="000000" w:fill="0066CC"/>
            <w:hideMark/>
          </w:tcPr>
          <w:p w14:paraId="6279004E"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Employees Paid Bonus</w:t>
            </w:r>
          </w:p>
        </w:tc>
        <w:tc>
          <w:tcPr>
            <w:tcW w:w="1276" w:type="dxa"/>
            <w:tcBorders>
              <w:top w:val="nil"/>
              <w:left w:val="nil"/>
              <w:bottom w:val="single" w:sz="4" w:space="0" w:color="auto"/>
              <w:right w:val="single" w:sz="4" w:space="0" w:color="auto"/>
            </w:tcBorders>
            <w:shd w:val="clear" w:color="000000" w:fill="0066CC"/>
            <w:hideMark/>
          </w:tcPr>
          <w:p w14:paraId="570D9E54"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Total Relevant Employees</w:t>
            </w:r>
          </w:p>
        </w:tc>
        <w:tc>
          <w:tcPr>
            <w:tcW w:w="992" w:type="dxa"/>
            <w:tcBorders>
              <w:top w:val="nil"/>
              <w:left w:val="nil"/>
              <w:bottom w:val="single" w:sz="4" w:space="0" w:color="auto"/>
              <w:right w:val="single" w:sz="8" w:space="0" w:color="auto"/>
            </w:tcBorders>
            <w:shd w:val="clear" w:color="000000" w:fill="0066CC"/>
            <w:hideMark/>
          </w:tcPr>
          <w:p w14:paraId="407FEF3B"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w:t>
            </w:r>
          </w:p>
        </w:tc>
      </w:tr>
      <w:tr w:rsidR="00774A63" w:rsidRPr="00774A63" w14:paraId="56A91A69" w14:textId="77777777" w:rsidTr="00774A63">
        <w:trPr>
          <w:trHeight w:val="288"/>
        </w:trPr>
        <w:tc>
          <w:tcPr>
            <w:tcW w:w="708" w:type="dxa"/>
            <w:tcBorders>
              <w:top w:val="nil"/>
              <w:left w:val="single" w:sz="4" w:space="0" w:color="auto"/>
              <w:bottom w:val="single" w:sz="4" w:space="0" w:color="auto"/>
              <w:right w:val="single" w:sz="4" w:space="0" w:color="auto"/>
            </w:tcBorders>
            <w:shd w:val="clear" w:color="000000" w:fill="0066CC"/>
            <w:hideMark/>
          </w:tcPr>
          <w:p w14:paraId="13AB5D07"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Female</w:t>
            </w:r>
          </w:p>
        </w:tc>
        <w:tc>
          <w:tcPr>
            <w:tcW w:w="1839" w:type="dxa"/>
            <w:tcBorders>
              <w:top w:val="single" w:sz="4" w:space="0" w:color="979991"/>
              <w:left w:val="single" w:sz="4" w:space="0" w:color="979991"/>
              <w:bottom w:val="single" w:sz="4" w:space="0" w:color="979991"/>
              <w:right w:val="nil"/>
            </w:tcBorders>
            <w:shd w:val="clear" w:color="000000" w:fill="FFFFFF"/>
            <w:hideMark/>
          </w:tcPr>
          <w:p w14:paraId="301C86B2"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18.00</w:t>
            </w:r>
          </w:p>
        </w:tc>
        <w:tc>
          <w:tcPr>
            <w:tcW w:w="1276" w:type="dxa"/>
            <w:tcBorders>
              <w:top w:val="single" w:sz="4" w:space="0" w:color="979991"/>
              <w:left w:val="single" w:sz="4" w:space="0" w:color="979991"/>
              <w:bottom w:val="single" w:sz="4" w:space="0" w:color="979991"/>
              <w:right w:val="nil"/>
            </w:tcBorders>
            <w:shd w:val="clear" w:color="000000" w:fill="FFFFFF"/>
            <w:hideMark/>
          </w:tcPr>
          <w:p w14:paraId="51683A7F"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5601.00</w:t>
            </w:r>
          </w:p>
        </w:tc>
        <w:tc>
          <w:tcPr>
            <w:tcW w:w="992" w:type="dxa"/>
            <w:tcBorders>
              <w:top w:val="single" w:sz="4" w:space="0" w:color="979991"/>
              <w:left w:val="single" w:sz="4" w:space="0" w:color="979991"/>
              <w:bottom w:val="single" w:sz="4" w:space="0" w:color="979991"/>
              <w:right w:val="single" w:sz="4" w:space="0" w:color="979991"/>
            </w:tcBorders>
            <w:shd w:val="clear" w:color="000000" w:fill="FFFFFF"/>
            <w:hideMark/>
          </w:tcPr>
          <w:p w14:paraId="26990031"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0.32</w:t>
            </w:r>
          </w:p>
        </w:tc>
      </w:tr>
      <w:tr w:rsidR="00774A63" w:rsidRPr="00774A63" w14:paraId="0E1C1495" w14:textId="77777777" w:rsidTr="00774A63">
        <w:trPr>
          <w:trHeight w:val="288"/>
        </w:trPr>
        <w:tc>
          <w:tcPr>
            <w:tcW w:w="708" w:type="dxa"/>
            <w:tcBorders>
              <w:top w:val="nil"/>
              <w:left w:val="single" w:sz="4" w:space="0" w:color="auto"/>
              <w:bottom w:val="single" w:sz="4" w:space="0" w:color="auto"/>
              <w:right w:val="single" w:sz="4" w:space="0" w:color="auto"/>
            </w:tcBorders>
            <w:shd w:val="clear" w:color="000000" w:fill="0066CC"/>
            <w:hideMark/>
          </w:tcPr>
          <w:p w14:paraId="30671A58"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Male</w:t>
            </w:r>
          </w:p>
        </w:tc>
        <w:tc>
          <w:tcPr>
            <w:tcW w:w="1839" w:type="dxa"/>
            <w:tcBorders>
              <w:top w:val="nil"/>
              <w:left w:val="single" w:sz="4" w:space="0" w:color="979991"/>
              <w:bottom w:val="single" w:sz="4" w:space="0" w:color="979991"/>
              <w:right w:val="nil"/>
            </w:tcBorders>
            <w:shd w:val="clear" w:color="000000" w:fill="FFFFFF"/>
            <w:hideMark/>
          </w:tcPr>
          <w:p w14:paraId="7E6A6088"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86.00</w:t>
            </w:r>
          </w:p>
        </w:tc>
        <w:tc>
          <w:tcPr>
            <w:tcW w:w="1276" w:type="dxa"/>
            <w:tcBorders>
              <w:top w:val="nil"/>
              <w:left w:val="single" w:sz="4" w:space="0" w:color="979991"/>
              <w:bottom w:val="single" w:sz="4" w:space="0" w:color="979991"/>
              <w:right w:val="nil"/>
            </w:tcBorders>
            <w:shd w:val="clear" w:color="000000" w:fill="FFFFFF"/>
            <w:hideMark/>
          </w:tcPr>
          <w:p w14:paraId="520634F2"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1249.00</w:t>
            </w:r>
          </w:p>
        </w:tc>
        <w:tc>
          <w:tcPr>
            <w:tcW w:w="992" w:type="dxa"/>
            <w:tcBorders>
              <w:top w:val="nil"/>
              <w:left w:val="single" w:sz="4" w:space="0" w:color="979991"/>
              <w:bottom w:val="single" w:sz="4" w:space="0" w:color="979991"/>
              <w:right w:val="single" w:sz="4" w:space="0" w:color="979991"/>
            </w:tcBorders>
            <w:shd w:val="clear" w:color="000000" w:fill="FFFFFF"/>
            <w:hideMark/>
          </w:tcPr>
          <w:p w14:paraId="532A0559"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6.89</w:t>
            </w:r>
          </w:p>
        </w:tc>
      </w:tr>
    </w:tbl>
    <w:p w14:paraId="354E9EEC" w14:textId="77777777" w:rsidR="00774A63" w:rsidRPr="00774A63" w:rsidRDefault="00774A63" w:rsidP="004B595F">
      <w:pPr>
        <w:pStyle w:val="Default"/>
        <w:jc w:val="both"/>
        <w:rPr>
          <w:b/>
          <w:color w:val="000000" w:themeColor="text1"/>
          <w:sz w:val="22"/>
          <w:szCs w:val="22"/>
        </w:rPr>
      </w:pPr>
    </w:p>
    <w:p w14:paraId="7074C12B" w14:textId="418E0A12" w:rsidR="009B24C8" w:rsidRPr="009B24C8" w:rsidRDefault="009B24C8" w:rsidP="009B24C8">
      <w:pPr>
        <w:rPr>
          <w:rFonts w:ascii="Calibri" w:hAnsi="Calibri" w:cs="Calibri"/>
          <w:i/>
          <w:iCs/>
          <w:color w:val="000000" w:themeColor="text1"/>
        </w:rPr>
      </w:pPr>
      <w:r w:rsidRPr="009B24C8">
        <w:rPr>
          <w:rFonts w:ascii="Calibri" w:hAnsi="Calibri" w:cs="Calibri"/>
          <w:i/>
          <w:iCs/>
          <w:color w:val="000000" w:themeColor="text1"/>
        </w:rPr>
        <w:t>* Note the data for the bonus period is captured over 12 months and the total relevant employees is captured at a point in time March 31st</w:t>
      </w:r>
      <w:r w:rsidR="0092601B" w:rsidRPr="009B24C8">
        <w:rPr>
          <w:rFonts w:ascii="Calibri" w:hAnsi="Calibri" w:cs="Calibri"/>
          <w:i/>
          <w:iCs/>
          <w:color w:val="000000" w:themeColor="text1"/>
        </w:rPr>
        <w:t>, 2021</w:t>
      </w:r>
      <w:r w:rsidRPr="009B24C8">
        <w:rPr>
          <w:rFonts w:ascii="Calibri" w:hAnsi="Calibri" w:cs="Calibri"/>
          <w:i/>
          <w:iCs/>
          <w:color w:val="000000" w:themeColor="text1"/>
        </w:rPr>
        <w:t xml:space="preserve">.  </w:t>
      </w:r>
    </w:p>
    <w:p w14:paraId="75AEC3C8" w14:textId="310B7F6C" w:rsidR="00C32127" w:rsidRPr="009B24C8" w:rsidRDefault="00305CD6" w:rsidP="004B595F">
      <w:pPr>
        <w:pStyle w:val="Default"/>
        <w:jc w:val="both"/>
        <w:rPr>
          <w:b/>
          <w:color w:val="000000" w:themeColor="text1"/>
        </w:rPr>
      </w:pPr>
      <w:r w:rsidRPr="009B24C8">
        <w:rPr>
          <w:color w:val="000000" w:themeColor="text1"/>
          <w:sz w:val="22"/>
          <w:szCs w:val="22"/>
        </w:rPr>
        <w:t>From the abo</w:t>
      </w:r>
      <w:r w:rsidR="005561B5" w:rsidRPr="009B24C8">
        <w:rPr>
          <w:color w:val="000000" w:themeColor="text1"/>
          <w:sz w:val="22"/>
          <w:szCs w:val="22"/>
        </w:rPr>
        <w:t>ve table it is evident that</w:t>
      </w:r>
      <w:r w:rsidR="00BE1E4C" w:rsidRPr="009B24C8">
        <w:rPr>
          <w:color w:val="000000" w:themeColor="text1"/>
          <w:sz w:val="22"/>
          <w:szCs w:val="22"/>
        </w:rPr>
        <w:t xml:space="preserve"> 18</w:t>
      </w:r>
      <w:r w:rsidR="005561B5" w:rsidRPr="009B24C8">
        <w:rPr>
          <w:color w:val="000000" w:themeColor="text1"/>
          <w:sz w:val="22"/>
          <w:szCs w:val="22"/>
        </w:rPr>
        <w:t xml:space="preserve"> </w:t>
      </w:r>
      <w:r w:rsidRPr="009B24C8">
        <w:rPr>
          <w:color w:val="000000" w:themeColor="text1"/>
          <w:sz w:val="22"/>
          <w:szCs w:val="22"/>
        </w:rPr>
        <w:t>(</w:t>
      </w:r>
      <w:r w:rsidR="00BE1E4C" w:rsidRPr="009B24C8">
        <w:rPr>
          <w:color w:val="000000" w:themeColor="text1"/>
          <w:sz w:val="22"/>
          <w:szCs w:val="22"/>
        </w:rPr>
        <w:t>0.32</w:t>
      </w:r>
      <w:r w:rsidRPr="009B24C8">
        <w:rPr>
          <w:color w:val="000000" w:themeColor="text1"/>
          <w:sz w:val="22"/>
          <w:szCs w:val="22"/>
        </w:rPr>
        <w:t xml:space="preserve">%) females were in receipt of a bonus payment in terms of the Clinical Excellence Award </w:t>
      </w:r>
      <w:r w:rsidR="00BE2D24" w:rsidRPr="009B24C8">
        <w:rPr>
          <w:color w:val="000000" w:themeColor="text1"/>
          <w:sz w:val="22"/>
          <w:szCs w:val="22"/>
        </w:rPr>
        <w:t>as compared to 86 (</w:t>
      </w:r>
      <w:r w:rsidR="009B24C8" w:rsidRPr="009B24C8">
        <w:rPr>
          <w:color w:val="000000" w:themeColor="text1"/>
          <w:sz w:val="22"/>
          <w:szCs w:val="22"/>
        </w:rPr>
        <w:t xml:space="preserve">6.9 </w:t>
      </w:r>
      <w:r w:rsidRPr="009B24C8">
        <w:rPr>
          <w:color w:val="000000" w:themeColor="text1"/>
          <w:sz w:val="22"/>
          <w:szCs w:val="22"/>
        </w:rPr>
        <w:t xml:space="preserve">%) males.  </w:t>
      </w:r>
    </w:p>
    <w:p w14:paraId="017CC072" w14:textId="77777777" w:rsidR="009B24C8" w:rsidRDefault="009B24C8" w:rsidP="007C3DAB">
      <w:pPr>
        <w:pStyle w:val="Default"/>
        <w:spacing w:after="60"/>
        <w:jc w:val="both"/>
        <w:rPr>
          <w:b/>
          <w:color w:val="000000" w:themeColor="text1"/>
        </w:rPr>
      </w:pPr>
    </w:p>
    <w:p w14:paraId="4C99B6E8" w14:textId="328F0566" w:rsidR="00396240" w:rsidRDefault="00BE1E4C" w:rsidP="007C3DAB">
      <w:pPr>
        <w:pStyle w:val="Default"/>
        <w:spacing w:after="60"/>
        <w:jc w:val="both"/>
        <w:rPr>
          <w:b/>
          <w:color w:val="000000" w:themeColor="text1"/>
        </w:rPr>
      </w:pPr>
      <w:r>
        <w:rPr>
          <w:b/>
          <w:color w:val="000000" w:themeColor="text1"/>
        </w:rPr>
        <w:t>Average</w:t>
      </w:r>
      <w:r w:rsidR="00396240">
        <w:rPr>
          <w:b/>
          <w:color w:val="000000" w:themeColor="text1"/>
        </w:rPr>
        <w:t xml:space="preserve"> and Median bonus gender pay gap</w:t>
      </w:r>
      <w:r w:rsidR="00774A63">
        <w:rPr>
          <w:b/>
          <w:color w:val="000000" w:themeColor="text1"/>
        </w:rPr>
        <w:t xml:space="preserve"> 202</w:t>
      </w:r>
      <w:r w:rsidR="0003674A">
        <w:rPr>
          <w:b/>
          <w:color w:val="000000" w:themeColor="text1"/>
        </w:rPr>
        <w:t>1</w:t>
      </w:r>
    </w:p>
    <w:p w14:paraId="1D3A3940" w14:textId="528B954A" w:rsidR="00774A63" w:rsidRPr="00774A63" w:rsidRDefault="00774A63" w:rsidP="00CF7782">
      <w:pPr>
        <w:pStyle w:val="Default"/>
        <w:spacing w:before="60"/>
        <w:jc w:val="both"/>
        <w:rPr>
          <w:b/>
          <w:color w:val="000000" w:themeColor="text1"/>
          <w:sz w:val="22"/>
          <w:szCs w:val="22"/>
        </w:rPr>
      </w:pPr>
      <w:r w:rsidRPr="00774A63">
        <w:rPr>
          <w:b/>
          <w:color w:val="000000" w:themeColor="text1"/>
          <w:sz w:val="22"/>
          <w:szCs w:val="22"/>
        </w:rPr>
        <w:t>2021</w:t>
      </w:r>
    </w:p>
    <w:tbl>
      <w:tblPr>
        <w:tblW w:w="5802" w:type="dxa"/>
        <w:tblLook w:val="04A0" w:firstRow="1" w:lastRow="0" w:firstColumn="1" w:lastColumn="0" w:noHBand="0" w:noVBand="1"/>
      </w:tblPr>
      <w:tblGrid>
        <w:gridCol w:w="1408"/>
        <w:gridCol w:w="1701"/>
        <w:gridCol w:w="2693"/>
      </w:tblGrid>
      <w:tr w:rsidR="009B24C8" w:rsidRPr="009B24C8" w14:paraId="4B65BE0F" w14:textId="77777777" w:rsidTr="00774A63">
        <w:trPr>
          <w:trHeight w:val="408"/>
        </w:trPr>
        <w:tc>
          <w:tcPr>
            <w:tcW w:w="1408" w:type="dxa"/>
            <w:tcBorders>
              <w:top w:val="nil"/>
              <w:left w:val="single" w:sz="8" w:space="0" w:color="auto"/>
              <w:bottom w:val="single" w:sz="4" w:space="0" w:color="auto"/>
              <w:right w:val="single" w:sz="4" w:space="0" w:color="auto"/>
            </w:tcBorders>
            <w:shd w:val="clear" w:color="000000" w:fill="0066CC"/>
            <w:hideMark/>
          </w:tcPr>
          <w:p w14:paraId="22255D33" w14:textId="77777777" w:rsidR="00774A63" w:rsidRPr="009B24C8" w:rsidRDefault="00774A63" w:rsidP="00774A63">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Gender</w:t>
            </w:r>
          </w:p>
        </w:tc>
        <w:tc>
          <w:tcPr>
            <w:tcW w:w="1701" w:type="dxa"/>
            <w:tcBorders>
              <w:top w:val="nil"/>
              <w:left w:val="nil"/>
              <w:bottom w:val="single" w:sz="4" w:space="0" w:color="auto"/>
              <w:right w:val="single" w:sz="4" w:space="0" w:color="auto"/>
            </w:tcBorders>
            <w:shd w:val="clear" w:color="000000" w:fill="0066CC"/>
            <w:hideMark/>
          </w:tcPr>
          <w:p w14:paraId="0E7536A9" w14:textId="77777777" w:rsidR="00774A63" w:rsidRPr="009B24C8" w:rsidRDefault="00774A63" w:rsidP="00774A63">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Avg. Pay</w:t>
            </w:r>
          </w:p>
        </w:tc>
        <w:tc>
          <w:tcPr>
            <w:tcW w:w="2693" w:type="dxa"/>
            <w:tcBorders>
              <w:top w:val="nil"/>
              <w:left w:val="nil"/>
              <w:bottom w:val="single" w:sz="4" w:space="0" w:color="auto"/>
              <w:right w:val="single" w:sz="4" w:space="0" w:color="auto"/>
            </w:tcBorders>
            <w:shd w:val="clear" w:color="000000" w:fill="0066CC"/>
            <w:hideMark/>
          </w:tcPr>
          <w:p w14:paraId="41BEAFA9" w14:textId="77777777" w:rsidR="00774A63" w:rsidRPr="009B24C8" w:rsidRDefault="00774A63" w:rsidP="00774A63">
            <w:pPr>
              <w:spacing w:after="0" w:line="240" w:lineRule="auto"/>
              <w:rPr>
                <w:rFonts w:ascii="Calibri" w:eastAsia="Times New Roman" w:hAnsi="Calibri" w:cs="Calibri"/>
                <w:b/>
                <w:bCs/>
                <w:color w:val="000000" w:themeColor="text1"/>
                <w:sz w:val="16"/>
                <w:szCs w:val="16"/>
                <w:lang w:eastAsia="en-GB"/>
              </w:rPr>
            </w:pPr>
            <w:r w:rsidRPr="009B24C8">
              <w:rPr>
                <w:rFonts w:ascii="Calibri" w:eastAsia="Times New Roman" w:hAnsi="Calibri" w:cs="Calibri"/>
                <w:b/>
                <w:bCs/>
                <w:color w:val="000000" w:themeColor="text1"/>
                <w:sz w:val="16"/>
                <w:szCs w:val="16"/>
                <w:lang w:eastAsia="en-GB"/>
              </w:rPr>
              <w:t>Median Pay</w:t>
            </w:r>
          </w:p>
        </w:tc>
      </w:tr>
      <w:tr w:rsidR="009B24C8" w:rsidRPr="009B24C8" w14:paraId="2405FDFC" w14:textId="77777777" w:rsidTr="00774A63">
        <w:trPr>
          <w:trHeight w:val="288"/>
        </w:trPr>
        <w:tc>
          <w:tcPr>
            <w:tcW w:w="1408" w:type="dxa"/>
            <w:tcBorders>
              <w:top w:val="nil"/>
              <w:left w:val="single" w:sz="8" w:space="0" w:color="auto"/>
              <w:bottom w:val="single" w:sz="4" w:space="0" w:color="auto"/>
              <w:right w:val="single" w:sz="4" w:space="0" w:color="auto"/>
            </w:tcBorders>
            <w:shd w:val="clear" w:color="000000" w:fill="FFFFFF"/>
            <w:hideMark/>
          </w:tcPr>
          <w:p w14:paraId="19393339"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Male</w:t>
            </w:r>
          </w:p>
        </w:tc>
        <w:tc>
          <w:tcPr>
            <w:tcW w:w="1701" w:type="dxa"/>
            <w:tcBorders>
              <w:top w:val="single" w:sz="4" w:space="0" w:color="979991"/>
              <w:left w:val="single" w:sz="4" w:space="0" w:color="979991"/>
              <w:bottom w:val="single" w:sz="4" w:space="0" w:color="979991"/>
              <w:right w:val="nil"/>
            </w:tcBorders>
            <w:shd w:val="clear" w:color="000000" w:fill="FFFFFF"/>
            <w:hideMark/>
          </w:tcPr>
          <w:p w14:paraId="426EC927"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11,009.61</w:t>
            </w:r>
          </w:p>
        </w:tc>
        <w:tc>
          <w:tcPr>
            <w:tcW w:w="2693" w:type="dxa"/>
            <w:tcBorders>
              <w:top w:val="single" w:sz="4" w:space="0" w:color="979991"/>
              <w:left w:val="single" w:sz="4" w:space="0" w:color="979991"/>
              <w:bottom w:val="single" w:sz="4" w:space="0" w:color="979991"/>
              <w:right w:val="single" w:sz="4" w:space="0" w:color="979991"/>
            </w:tcBorders>
            <w:shd w:val="clear" w:color="000000" w:fill="FFFFFF"/>
            <w:hideMark/>
          </w:tcPr>
          <w:p w14:paraId="2F27C6E5"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7,540.02</w:t>
            </w:r>
          </w:p>
        </w:tc>
      </w:tr>
      <w:tr w:rsidR="009B24C8" w:rsidRPr="009B24C8" w14:paraId="0991421A" w14:textId="77777777" w:rsidTr="00774A63">
        <w:trPr>
          <w:trHeight w:val="288"/>
        </w:trPr>
        <w:tc>
          <w:tcPr>
            <w:tcW w:w="1408" w:type="dxa"/>
            <w:tcBorders>
              <w:top w:val="nil"/>
              <w:left w:val="single" w:sz="8" w:space="0" w:color="auto"/>
              <w:bottom w:val="single" w:sz="4" w:space="0" w:color="auto"/>
              <w:right w:val="single" w:sz="4" w:space="0" w:color="auto"/>
            </w:tcBorders>
            <w:shd w:val="clear" w:color="000000" w:fill="FFFFFF"/>
            <w:hideMark/>
          </w:tcPr>
          <w:p w14:paraId="14ED6845"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Female</w:t>
            </w:r>
          </w:p>
        </w:tc>
        <w:tc>
          <w:tcPr>
            <w:tcW w:w="1701" w:type="dxa"/>
            <w:tcBorders>
              <w:top w:val="nil"/>
              <w:left w:val="single" w:sz="4" w:space="0" w:color="979991"/>
              <w:bottom w:val="single" w:sz="4" w:space="0" w:color="979991"/>
              <w:right w:val="nil"/>
            </w:tcBorders>
            <w:shd w:val="clear" w:color="000000" w:fill="FFFFFF"/>
            <w:hideMark/>
          </w:tcPr>
          <w:p w14:paraId="72C5C99F"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10,207.45</w:t>
            </w:r>
          </w:p>
        </w:tc>
        <w:tc>
          <w:tcPr>
            <w:tcW w:w="2693" w:type="dxa"/>
            <w:tcBorders>
              <w:top w:val="nil"/>
              <w:left w:val="single" w:sz="4" w:space="0" w:color="979991"/>
              <w:bottom w:val="single" w:sz="4" w:space="0" w:color="979991"/>
              <w:right w:val="single" w:sz="4" w:space="0" w:color="979991"/>
            </w:tcBorders>
            <w:shd w:val="clear" w:color="000000" w:fill="FFFFFF"/>
            <w:hideMark/>
          </w:tcPr>
          <w:p w14:paraId="28D4DF8F"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6,032.04</w:t>
            </w:r>
          </w:p>
        </w:tc>
      </w:tr>
      <w:tr w:rsidR="009B24C8" w:rsidRPr="009B24C8" w14:paraId="12680CD0" w14:textId="77777777" w:rsidTr="00774A63">
        <w:trPr>
          <w:trHeight w:val="288"/>
        </w:trPr>
        <w:tc>
          <w:tcPr>
            <w:tcW w:w="1408" w:type="dxa"/>
            <w:tcBorders>
              <w:top w:val="nil"/>
              <w:left w:val="single" w:sz="8" w:space="0" w:color="auto"/>
              <w:bottom w:val="single" w:sz="4" w:space="0" w:color="auto"/>
              <w:right w:val="single" w:sz="4" w:space="0" w:color="auto"/>
            </w:tcBorders>
            <w:shd w:val="clear" w:color="000000" w:fill="FFFFFF"/>
            <w:hideMark/>
          </w:tcPr>
          <w:p w14:paraId="24A1880F"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Difference</w:t>
            </w:r>
          </w:p>
        </w:tc>
        <w:tc>
          <w:tcPr>
            <w:tcW w:w="1701" w:type="dxa"/>
            <w:tcBorders>
              <w:top w:val="nil"/>
              <w:left w:val="single" w:sz="4" w:space="0" w:color="979991"/>
              <w:bottom w:val="single" w:sz="4" w:space="0" w:color="979991"/>
              <w:right w:val="nil"/>
            </w:tcBorders>
            <w:shd w:val="clear" w:color="000000" w:fill="FFFFFF"/>
            <w:hideMark/>
          </w:tcPr>
          <w:p w14:paraId="63ED6C28"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802.16</w:t>
            </w:r>
          </w:p>
        </w:tc>
        <w:tc>
          <w:tcPr>
            <w:tcW w:w="2693" w:type="dxa"/>
            <w:tcBorders>
              <w:top w:val="nil"/>
              <w:left w:val="single" w:sz="4" w:space="0" w:color="979991"/>
              <w:bottom w:val="single" w:sz="4" w:space="0" w:color="979991"/>
              <w:right w:val="single" w:sz="4" w:space="0" w:color="979991"/>
            </w:tcBorders>
            <w:shd w:val="clear" w:color="000000" w:fill="FFFFFF"/>
            <w:hideMark/>
          </w:tcPr>
          <w:p w14:paraId="265B2A07"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1,507.98</w:t>
            </w:r>
          </w:p>
        </w:tc>
      </w:tr>
      <w:tr w:rsidR="009B24C8" w:rsidRPr="009B24C8" w14:paraId="75A71CEA" w14:textId="77777777" w:rsidTr="00774A63">
        <w:trPr>
          <w:trHeight w:val="300"/>
        </w:trPr>
        <w:tc>
          <w:tcPr>
            <w:tcW w:w="1408" w:type="dxa"/>
            <w:tcBorders>
              <w:top w:val="nil"/>
              <w:left w:val="single" w:sz="8" w:space="0" w:color="auto"/>
              <w:bottom w:val="single" w:sz="4" w:space="0" w:color="auto"/>
              <w:right w:val="single" w:sz="4" w:space="0" w:color="auto"/>
            </w:tcBorders>
            <w:shd w:val="clear" w:color="000000" w:fill="FFFFFF"/>
            <w:hideMark/>
          </w:tcPr>
          <w:p w14:paraId="3CC038DE" w14:textId="77777777" w:rsidR="00774A63" w:rsidRPr="009B24C8" w:rsidRDefault="00774A63" w:rsidP="00774A63">
            <w:pPr>
              <w:spacing w:after="0" w:line="240" w:lineRule="auto"/>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Pay Gap %</w:t>
            </w:r>
          </w:p>
        </w:tc>
        <w:tc>
          <w:tcPr>
            <w:tcW w:w="1701" w:type="dxa"/>
            <w:tcBorders>
              <w:top w:val="nil"/>
              <w:left w:val="single" w:sz="4" w:space="0" w:color="979991"/>
              <w:bottom w:val="single" w:sz="4" w:space="0" w:color="979991"/>
              <w:right w:val="nil"/>
            </w:tcBorders>
            <w:shd w:val="clear" w:color="000000" w:fill="FFFFFF"/>
            <w:hideMark/>
          </w:tcPr>
          <w:p w14:paraId="3552640E"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7.29</w:t>
            </w:r>
          </w:p>
        </w:tc>
        <w:tc>
          <w:tcPr>
            <w:tcW w:w="2693" w:type="dxa"/>
            <w:tcBorders>
              <w:top w:val="nil"/>
              <w:left w:val="single" w:sz="4" w:space="0" w:color="979991"/>
              <w:bottom w:val="single" w:sz="4" w:space="0" w:color="979991"/>
              <w:right w:val="single" w:sz="4" w:space="0" w:color="979991"/>
            </w:tcBorders>
            <w:shd w:val="clear" w:color="000000" w:fill="FFFFFF"/>
            <w:hideMark/>
          </w:tcPr>
          <w:p w14:paraId="34D54AE6" w14:textId="77777777" w:rsidR="00774A63" w:rsidRPr="009B24C8" w:rsidRDefault="00774A63" w:rsidP="00774A63">
            <w:pPr>
              <w:spacing w:after="0" w:line="240" w:lineRule="auto"/>
              <w:jc w:val="right"/>
              <w:rPr>
                <w:rFonts w:ascii="Calibri" w:eastAsia="Times New Roman" w:hAnsi="Calibri" w:cs="Calibri"/>
                <w:color w:val="000000" w:themeColor="text1"/>
                <w:sz w:val="16"/>
                <w:szCs w:val="16"/>
                <w:lang w:eastAsia="en-GB"/>
              </w:rPr>
            </w:pPr>
            <w:r w:rsidRPr="009B24C8">
              <w:rPr>
                <w:rFonts w:ascii="Calibri" w:eastAsia="Times New Roman" w:hAnsi="Calibri" w:cs="Calibri"/>
                <w:color w:val="000000" w:themeColor="text1"/>
                <w:sz w:val="16"/>
                <w:szCs w:val="16"/>
                <w:lang w:eastAsia="en-GB"/>
              </w:rPr>
              <w:t>20.00</w:t>
            </w:r>
          </w:p>
        </w:tc>
      </w:tr>
    </w:tbl>
    <w:p w14:paraId="5DB30186" w14:textId="77777777" w:rsidR="00774A63" w:rsidRDefault="00774A63" w:rsidP="00CF7782">
      <w:pPr>
        <w:pStyle w:val="Default"/>
        <w:spacing w:before="60"/>
        <w:jc w:val="both"/>
        <w:rPr>
          <w:color w:val="000000" w:themeColor="text1"/>
          <w:sz w:val="22"/>
          <w:szCs w:val="22"/>
        </w:rPr>
      </w:pPr>
    </w:p>
    <w:p w14:paraId="7492B13D" w14:textId="091DE02D" w:rsidR="003B191D" w:rsidRPr="0003674A" w:rsidRDefault="00774A63" w:rsidP="00CF7782">
      <w:pPr>
        <w:pStyle w:val="Default"/>
        <w:spacing w:before="60"/>
        <w:jc w:val="both"/>
        <w:rPr>
          <w:color w:val="000000" w:themeColor="text1"/>
          <w:sz w:val="22"/>
          <w:szCs w:val="22"/>
        </w:rPr>
      </w:pPr>
      <w:r w:rsidRPr="0003674A">
        <w:rPr>
          <w:color w:val="000000" w:themeColor="text1"/>
          <w:sz w:val="22"/>
          <w:szCs w:val="22"/>
        </w:rPr>
        <w:t>T</w:t>
      </w:r>
      <w:r w:rsidR="00CA42F4" w:rsidRPr="0003674A">
        <w:rPr>
          <w:color w:val="000000" w:themeColor="text1"/>
          <w:sz w:val="22"/>
          <w:szCs w:val="22"/>
        </w:rPr>
        <w:t>he bonus average pay gap is much closer</w:t>
      </w:r>
      <w:r w:rsidR="00E3218A" w:rsidRPr="0003674A">
        <w:rPr>
          <w:color w:val="000000" w:themeColor="text1"/>
          <w:sz w:val="22"/>
          <w:szCs w:val="22"/>
        </w:rPr>
        <w:t xml:space="preserve"> between male and female at 7.29% equivalent to £802.16</w:t>
      </w:r>
      <w:r w:rsidR="00CA42F4" w:rsidRPr="0003674A">
        <w:rPr>
          <w:color w:val="000000" w:themeColor="text1"/>
          <w:sz w:val="22"/>
          <w:szCs w:val="22"/>
        </w:rPr>
        <w:t xml:space="preserve">. Whereas the median bonus </w:t>
      </w:r>
      <w:r w:rsidR="00E3218A" w:rsidRPr="0003674A">
        <w:rPr>
          <w:color w:val="000000" w:themeColor="text1"/>
          <w:sz w:val="22"/>
          <w:szCs w:val="22"/>
        </w:rPr>
        <w:t xml:space="preserve">pay gap is much greater at 20% </w:t>
      </w:r>
      <w:r w:rsidR="0003674A" w:rsidRPr="0003674A">
        <w:rPr>
          <w:color w:val="000000" w:themeColor="text1"/>
          <w:sz w:val="22"/>
          <w:szCs w:val="22"/>
        </w:rPr>
        <w:t xml:space="preserve">is </w:t>
      </w:r>
      <w:r w:rsidR="00E3218A" w:rsidRPr="0003674A">
        <w:rPr>
          <w:color w:val="000000" w:themeColor="text1"/>
          <w:sz w:val="22"/>
          <w:szCs w:val="22"/>
        </w:rPr>
        <w:t>equivalent to £1507.98</w:t>
      </w:r>
      <w:r w:rsidR="00CA42F4" w:rsidRPr="0003674A">
        <w:rPr>
          <w:color w:val="000000" w:themeColor="text1"/>
          <w:sz w:val="22"/>
          <w:szCs w:val="22"/>
        </w:rPr>
        <w:t xml:space="preserve"> in </w:t>
      </w:r>
      <w:r w:rsidR="00012190" w:rsidRPr="0003674A">
        <w:rPr>
          <w:color w:val="000000" w:themeColor="text1"/>
          <w:sz w:val="22"/>
          <w:szCs w:val="22"/>
        </w:rPr>
        <w:t xml:space="preserve">monetary terms. </w:t>
      </w:r>
      <w:r w:rsidR="00CA42F4" w:rsidRPr="0003674A">
        <w:rPr>
          <w:color w:val="000000" w:themeColor="text1"/>
          <w:sz w:val="22"/>
          <w:szCs w:val="22"/>
        </w:rPr>
        <w:t xml:space="preserve"> </w:t>
      </w:r>
      <w:r w:rsidR="0003674A" w:rsidRPr="0003674A">
        <w:rPr>
          <w:color w:val="000000" w:themeColor="text1"/>
          <w:sz w:val="22"/>
          <w:szCs w:val="22"/>
        </w:rPr>
        <w:t xml:space="preserve">This has not </w:t>
      </w:r>
      <w:r w:rsidR="0092601B" w:rsidRPr="0003674A">
        <w:rPr>
          <w:color w:val="000000" w:themeColor="text1"/>
          <w:sz w:val="22"/>
          <w:szCs w:val="22"/>
        </w:rPr>
        <w:t>changed</w:t>
      </w:r>
      <w:r w:rsidR="0003674A" w:rsidRPr="0003674A">
        <w:rPr>
          <w:color w:val="000000" w:themeColor="text1"/>
          <w:sz w:val="22"/>
          <w:szCs w:val="22"/>
        </w:rPr>
        <w:t xml:space="preserve"> since last reporting period. </w:t>
      </w:r>
    </w:p>
    <w:p w14:paraId="3AA65CE8" w14:textId="77777777" w:rsidR="00CA42F4" w:rsidRPr="0003674A" w:rsidRDefault="00CA42F4" w:rsidP="004B595F">
      <w:pPr>
        <w:pStyle w:val="Default"/>
        <w:jc w:val="both"/>
        <w:rPr>
          <w:b/>
          <w:color w:val="000000" w:themeColor="text1"/>
        </w:rPr>
      </w:pPr>
    </w:p>
    <w:p w14:paraId="27D066D8" w14:textId="6F87C1ED" w:rsidR="007D6280" w:rsidRPr="003F1223" w:rsidRDefault="007D6280" w:rsidP="003F1223">
      <w:pPr>
        <w:rPr>
          <w:rFonts w:ascii="Calibri" w:hAnsi="Calibri" w:cs="Calibri"/>
          <w:b/>
          <w:bCs/>
          <w:color w:val="000000" w:themeColor="text1"/>
          <w:sz w:val="24"/>
          <w:szCs w:val="24"/>
        </w:rPr>
      </w:pPr>
      <w:r w:rsidRPr="005F60FC">
        <w:rPr>
          <w:b/>
          <w:bCs/>
          <w:color w:val="000000" w:themeColor="text1"/>
        </w:rPr>
        <w:t xml:space="preserve">Previous year comparisons </w:t>
      </w:r>
    </w:p>
    <w:p w14:paraId="01063B4C" w14:textId="6C5A74D7" w:rsidR="007D6280" w:rsidRDefault="007D6280" w:rsidP="00A04CF9">
      <w:pPr>
        <w:pStyle w:val="Default"/>
        <w:jc w:val="both"/>
        <w:rPr>
          <w:color w:val="000000" w:themeColor="text1"/>
          <w:sz w:val="22"/>
          <w:szCs w:val="22"/>
        </w:rPr>
      </w:pPr>
      <w:r w:rsidRPr="00291A38">
        <w:rPr>
          <w:color w:val="000000" w:themeColor="text1"/>
          <w:sz w:val="22"/>
          <w:szCs w:val="22"/>
        </w:rPr>
        <w:t>The table</w:t>
      </w:r>
      <w:r w:rsidR="005B50F0">
        <w:rPr>
          <w:color w:val="000000" w:themeColor="text1"/>
          <w:sz w:val="22"/>
          <w:szCs w:val="22"/>
        </w:rPr>
        <w:t>s</w:t>
      </w:r>
      <w:r w:rsidRPr="00291A38">
        <w:rPr>
          <w:color w:val="000000" w:themeColor="text1"/>
          <w:sz w:val="22"/>
          <w:szCs w:val="22"/>
        </w:rPr>
        <w:t xml:space="preserve"> below show how the trust has moved from last year’s report to the position </w:t>
      </w:r>
      <w:r w:rsidR="00DF3120" w:rsidRPr="00291A38">
        <w:rPr>
          <w:color w:val="000000" w:themeColor="text1"/>
          <w:sz w:val="22"/>
          <w:szCs w:val="22"/>
        </w:rPr>
        <w:t>on</w:t>
      </w:r>
      <w:r w:rsidRPr="00291A38">
        <w:rPr>
          <w:color w:val="000000" w:themeColor="text1"/>
          <w:sz w:val="22"/>
          <w:szCs w:val="22"/>
        </w:rPr>
        <w:t xml:space="preserve"> 31</w:t>
      </w:r>
      <w:r w:rsidRPr="00291A38">
        <w:rPr>
          <w:color w:val="000000" w:themeColor="text1"/>
          <w:sz w:val="14"/>
          <w:szCs w:val="14"/>
        </w:rPr>
        <w:t xml:space="preserve">st </w:t>
      </w:r>
      <w:r w:rsidRPr="00291A38">
        <w:rPr>
          <w:color w:val="000000" w:themeColor="text1"/>
          <w:sz w:val="22"/>
          <w:szCs w:val="22"/>
        </w:rPr>
        <w:t>March 20</w:t>
      </w:r>
      <w:r w:rsidR="00322BFE">
        <w:rPr>
          <w:color w:val="000000" w:themeColor="text1"/>
          <w:sz w:val="22"/>
          <w:szCs w:val="22"/>
        </w:rPr>
        <w:t>21</w:t>
      </w:r>
      <w:r w:rsidR="00443182">
        <w:rPr>
          <w:color w:val="000000" w:themeColor="text1"/>
          <w:sz w:val="22"/>
          <w:szCs w:val="22"/>
        </w:rPr>
        <w:t xml:space="preserve"> across all groups of staff. </w:t>
      </w:r>
    </w:p>
    <w:tbl>
      <w:tblPr>
        <w:tblW w:w="9700" w:type="dxa"/>
        <w:tblLook w:val="04A0" w:firstRow="1" w:lastRow="0" w:firstColumn="1" w:lastColumn="0" w:noHBand="0" w:noVBand="1"/>
      </w:tblPr>
      <w:tblGrid>
        <w:gridCol w:w="1160"/>
        <w:gridCol w:w="1580"/>
        <w:gridCol w:w="1680"/>
        <w:gridCol w:w="1180"/>
        <w:gridCol w:w="1060"/>
        <w:gridCol w:w="780"/>
        <w:gridCol w:w="880"/>
        <w:gridCol w:w="700"/>
        <w:gridCol w:w="680"/>
      </w:tblGrid>
      <w:tr w:rsidR="002B7046" w:rsidRPr="002B7046" w14:paraId="0F703D09" w14:textId="77777777" w:rsidTr="002B7046">
        <w:trPr>
          <w:trHeight w:val="300"/>
        </w:trPr>
        <w:tc>
          <w:tcPr>
            <w:tcW w:w="1160" w:type="dxa"/>
            <w:tcBorders>
              <w:top w:val="nil"/>
              <w:left w:val="nil"/>
              <w:bottom w:val="nil"/>
              <w:right w:val="nil"/>
            </w:tcBorders>
            <w:shd w:val="clear" w:color="auto" w:fill="auto"/>
            <w:noWrap/>
            <w:vAlign w:val="bottom"/>
            <w:hideMark/>
          </w:tcPr>
          <w:p w14:paraId="2FBCD84B" w14:textId="77777777" w:rsidR="002B7046" w:rsidRPr="002B7046" w:rsidRDefault="002B7046" w:rsidP="002B7046">
            <w:pPr>
              <w:spacing w:after="0" w:line="240" w:lineRule="auto"/>
              <w:rPr>
                <w:rFonts w:ascii="Times New Roman" w:eastAsia="Times New Roman" w:hAnsi="Times New Roman" w:cs="Times New Roman"/>
                <w:sz w:val="24"/>
                <w:szCs w:val="24"/>
                <w:lang w:eastAsia="en-GB"/>
              </w:rPr>
            </w:pPr>
          </w:p>
        </w:tc>
        <w:tc>
          <w:tcPr>
            <w:tcW w:w="1580" w:type="dxa"/>
            <w:tcBorders>
              <w:top w:val="nil"/>
              <w:left w:val="nil"/>
              <w:bottom w:val="nil"/>
              <w:right w:val="nil"/>
            </w:tcBorders>
            <w:shd w:val="clear" w:color="auto" w:fill="auto"/>
            <w:noWrap/>
            <w:vAlign w:val="bottom"/>
            <w:hideMark/>
          </w:tcPr>
          <w:p w14:paraId="7AC279BA"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1680" w:type="dxa"/>
            <w:tcBorders>
              <w:top w:val="nil"/>
              <w:left w:val="nil"/>
              <w:bottom w:val="nil"/>
              <w:right w:val="nil"/>
            </w:tcBorders>
            <w:shd w:val="clear" w:color="auto" w:fill="auto"/>
            <w:noWrap/>
            <w:vAlign w:val="bottom"/>
            <w:hideMark/>
          </w:tcPr>
          <w:p w14:paraId="11C4D586"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14:paraId="47404062"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14:paraId="06F2CD1E"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780" w:type="dxa"/>
            <w:tcBorders>
              <w:top w:val="nil"/>
              <w:left w:val="nil"/>
              <w:bottom w:val="nil"/>
              <w:right w:val="nil"/>
            </w:tcBorders>
            <w:shd w:val="clear" w:color="auto" w:fill="auto"/>
            <w:noWrap/>
            <w:vAlign w:val="bottom"/>
            <w:hideMark/>
          </w:tcPr>
          <w:p w14:paraId="2BB39F63"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880" w:type="dxa"/>
            <w:tcBorders>
              <w:top w:val="nil"/>
              <w:left w:val="nil"/>
              <w:bottom w:val="nil"/>
              <w:right w:val="nil"/>
            </w:tcBorders>
            <w:shd w:val="clear" w:color="auto" w:fill="auto"/>
            <w:noWrap/>
            <w:vAlign w:val="bottom"/>
            <w:hideMark/>
          </w:tcPr>
          <w:p w14:paraId="24F6683E"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700" w:type="dxa"/>
            <w:tcBorders>
              <w:top w:val="nil"/>
              <w:left w:val="nil"/>
              <w:bottom w:val="nil"/>
              <w:right w:val="nil"/>
            </w:tcBorders>
            <w:shd w:val="clear" w:color="auto" w:fill="auto"/>
            <w:noWrap/>
            <w:vAlign w:val="bottom"/>
            <w:hideMark/>
          </w:tcPr>
          <w:p w14:paraId="1C09CCBF"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bottom"/>
            <w:hideMark/>
          </w:tcPr>
          <w:p w14:paraId="3F007408" w14:textId="77777777" w:rsidR="002B7046" w:rsidRPr="002B7046" w:rsidRDefault="002B7046" w:rsidP="002B7046">
            <w:pPr>
              <w:spacing w:after="0" w:line="240" w:lineRule="auto"/>
              <w:rPr>
                <w:rFonts w:ascii="Times New Roman" w:eastAsia="Times New Roman" w:hAnsi="Times New Roman" w:cs="Times New Roman"/>
                <w:sz w:val="20"/>
                <w:szCs w:val="20"/>
                <w:lang w:eastAsia="en-GB"/>
              </w:rPr>
            </w:pPr>
          </w:p>
        </w:tc>
      </w:tr>
      <w:tr w:rsidR="002B7046" w:rsidRPr="002B7046" w14:paraId="7CF2EC25" w14:textId="77777777" w:rsidTr="002B7046">
        <w:trPr>
          <w:trHeight w:val="600"/>
        </w:trPr>
        <w:tc>
          <w:tcPr>
            <w:tcW w:w="442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E24BD9"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Average &amp; Median Hourly Rates</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14:paraId="0784ABE9" w14:textId="77777777" w:rsidR="002B7046" w:rsidRPr="0003674A" w:rsidRDefault="002B7046" w:rsidP="002B7046">
            <w:pPr>
              <w:spacing w:after="0" w:line="240" w:lineRule="auto"/>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 </w:t>
            </w:r>
          </w:p>
        </w:tc>
        <w:tc>
          <w:tcPr>
            <w:tcW w:w="4100" w:type="dxa"/>
            <w:gridSpan w:val="5"/>
            <w:tcBorders>
              <w:top w:val="single" w:sz="8" w:space="0" w:color="auto"/>
              <w:left w:val="nil"/>
              <w:bottom w:val="single" w:sz="4" w:space="0" w:color="auto"/>
              <w:right w:val="single" w:sz="8" w:space="0" w:color="000000"/>
            </w:tcBorders>
            <w:shd w:val="clear" w:color="auto" w:fill="auto"/>
            <w:vAlign w:val="bottom"/>
            <w:hideMark/>
          </w:tcPr>
          <w:p w14:paraId="07C3C897"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Number of employees | Q1 = Low, Q4 = High</w:t>
            </w:r>
          </w:p>
        </w:tc>
      </w:tr>
      <w:tr w:rsidR="002B7046" w:rsidRPr="002B7046" w14:paraId="35E91461" w14:textId="77777777" w:rsidTr="002B7046">
        <w:trPr>
          <w:trHeight w:val="288"/>
        </w:trPr>
        <w:tc>
          <w:tcPr>
            <w:tcW w:w="970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E5A367D" w14:textId="77777777" w:rsidR="002B7046" w:rsidRPr="0003674A" w:rsidRDefault="002B7046" w:rsidP="002B7046">
            <w:pPr>
              <w:spacing w:after="0" w:line="240" w:lineRule="auto"/>
              <w:jc w:val="center"/>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2B7046" w:rsidRPr="002B7046" w14:paraId="58319F2B" w14:textId="77777777" w:rsidTr="002B7046">
        <w:trPr>
          <w:trHeight w:val="288"/>
        </w:trPr>
        <w:tc>
          <w:tcPr>
            <w:tcW w:w="970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9BFA534"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Mar-20</w:t>
            </w:r>
          </w:p>
        </w:tc>
      </w:tr>
      <w:tr w:rsidR="002B7046" w:rsidRPr="002B7046" w14:paraId="19EB4B19" w14:textId="77777777" w:rsidTr="002B7046">
        <w:trPr>
          <w:trHeight w:val="300"/>
        </w:trPr>
        <w:tc>
          <w:tcPr>
            <w:tcW w:w="1160" w:type="dxa"/>
            <w:tcBorders>
              <w:top w:val="nil"/>
              <w:left w:val="single" w:sz="8" w:space="0" w:color="auto"/>
              <w:bottom w:val="single" w:sz="4" w:space="0" w:color="auto"/>
              <w:right w:val="single" w:sz="4" w:space="0" w:color="auto"/>
            </w:tcBorders>
            <w:shd w:val="clear" w:color="000000" w:fill="0066CC"/>
            <w:hideMark/>
          </w:tcPr>
          <w:p w14:paraId="02B4285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580" w:type="dxa"/>
            <w:tcBorders>
              <w:top w:val="nil"/>
              <w:left w:val="nil"/>
              <w:bottom w:val="single" w:sz="4" w:space="0" w:color="auto"/>
              <w:right w:val="single" w:sz="4" w:space="0" w:color="auto"/>
            </w:tcBorders>
            <w:shd w:val="clear" w:color="000000" w:fill="0066CC"/>
            <w:hideMark/>
          </w:tcPr>
          <w:p w14:paraId="547B49EC"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Avg. Hourly Rate</w:t>
            </w:r>
          </w:p>
        </w:tc>
        <w:tc>
          <w:tcPr>
            <w:tcW w:w="1680" w:type="dxa"/>
            <w:tcBorders>
              <w:top w:val="nil"/>
              <w:left w:val="nil"/>
              <w:bottom w:val="single" w:sz="4" w:space="0" w:color="auto"/>
              <w:right w:val="single" w:sz="4" w:space="0" w:color="auto"/>
            </w:tcBorders>
            <w:shd w:val="clear" w:color="000000" w:fill="0066CC"/>
            <w:hideMark/>
          </w:tcPr>
          <w:p w14:paraId="18CFB9CE"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Median Hourly Rate</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17E0DC" w14:textId="77777777" w:rsidR="002B7046" w:rsidRPr="0003674A" w:rsidRDefault="002B7046" w:rsidP="002B7046">
            <w:pPr>
              <w:spacing w:after="0" w:line="240" w:lineRule="auto"/>
              <w:jc w:val="center"/>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060" w:type="dxa"/>
            <w:tcBorders>
              <w:top w:val="nil"/>
              <w:left w:val="nil"/>
              <w:bottom w:val="single" w:sz="4" w:space="0" w:color="auto"/>
              <w:right w:val="single" w:sz="4" w:space="0" w:color="auto"/>
            </w:tcBorders>
            <w:shd w:val="clear" w:color="000000" w:fill="0066CC"/>
            <w:hideMark/>
          </w:tcPr>
          <w:p w14:paraId="531A4DA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Quartile</w:t>
            </w:r>
          </w:p>
        </w:tc>
        <w:tc>
          <w:tcPr>
            <w:tcW w:w="780" w:type="dxa"/>
            <w:tcBorders>
              <w:top w:val="nil"/>
              <w:left w:val="nil"/>
              <w:bottom w:val="single" w:sz="4" w:space="0" w:color="auto"/>
              <w:right w:val="single" w:sz="4" w:space="0" w:color="auto"/>
            </w:tcBorders>
            <w:shd w:val="clear" w:color="000000" w:fill="0066CC"/>
            <w:hideMark/>
          </w:tcPr>
          <w:p w14:paraId="3321277A"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880" w:type="dxa"/>
            <w:tcBorders>
              <w:top w:val="nil"/>
              <w:left w:val="nil"/>
              <w:bottom w:val="single" w:sz="4" w:space="0" w:color="auto"/>
              <w:right w:val="single" w:sz="4" w:space="0" w:color="auto"/>
            </w:tcBorders>
            <w:shd w:val="clear" w:color="000000" w:fill="0066CC"/>
            <w:hideMark/>
          </w:tcPr>
          <w:p w14:paraId="19F4552E"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700" w:type="dxa"/>
            <w:tcBorders>
              <w:top w:val="nil"/>
              <w:left w:val="nil"/>
              <w:bottom w:val="single" w:sz="4" w:space="0" w:color="auto"/>
              <w:right w:val="single" w:sz="4" w:space="0" w:color="auto"/>
            </w:tcBorders>
            <w:shd w:val="clear" w:color="000000" w:fill="0066CC"/>
            <w:hideMark/>
          </w:tcPr>
          <w:p w14:paraId="4D7481BA"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 %</w:t>
            </w:r>
          </w:p>
        </w:tc>
        <w:tc>
          <w:tcPr>
            <w:tcW w:w="680" w:type="dxa"/>
            <w:tcBorders>
              <w:top w:val="nil"/>
              <w:left w:val="nil"/>
              <w:bottom w:val="single" w:sz="4" w:space="0" w:color="auto"/>
              <w:right w:val="single" w:sz="8" w:space="0" w:color="auto"/>
            </w:tcBorders>
            <w:shd w:val="clear" w:color="000000" w:fill="0066CC"/>
            <w:hideMark/>
          </w:tcPr>
          <w:p w14:paraId="09A1A95F"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 %</w:t>
            </w:r>
          </w:p>
        </w:tc>
      </w:tr>
      <w:tr w:rsidR="002B7046" w:rsidRPr="002B7046" w14:paraId="40BAB5BE"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72ACD0A6"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1580" w:type="dxa"/>
            <w:tcBorders>
              <w:top w:val="nil"/>
              <w:left w:val="nil"/>
              <w:bottom w:val="single" w:sz="4" w:space="0" w:color="auto"/>
              <w:right w:val="single" w:sz="4" w:space="0" w:color="auto"/>
            </w:tcBorders>
            <w:shd w:val="clear" w:color="000000" w:fill="FFFFFF"/>
            <w:hideMark/>
          </w:tcPr>
          <w:p w14:paraId="6ACD76F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23.4124</w:t>
            </w:r>
          </w:p>
        </w:tc>
        <w:tc>
          <w:tcPr>
            <w:tcW w:w="1680" w:type="dxa"/>
            <w:tcBorders>
              <w:top w:val="nil"/>
              <w:left w:val="nil"/>
              <w:bottom w:val="single" w:sz="4" w:space="0" w:color="auto"/>
              <w:right w:val="single" w:sz="4" w:space="0" w:color="auto"/>
            </w:tcBorders>
            <w:shd w:val="clear" w:color="000000" w:fill="FFFFFF"/>
            <w:hideMark/>
          </w:tcPr>
          <w:p w14:paraId="675931D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18.1892</w:t>
            </w:r>
          </w:p>
        </w:tc>
        <w:tc>
          <w:tcPr>
            <w:tcW w:w="1180" w:type="dxa"/>
            <w:vMerge/>
            <w:tcBorders>
              <w:top w:val="nil"/>
              <w:left w:val="single" w:sz="4" w:space="0" w:color="auto"/>
              <w:bottom w:val="single" w:sz="4" w:space="0" w:color="000000"/>
              <w:right w:val="single" w:sz="4" w:space="0" w:color="auto"/>
            </w:tcBorders>
            <w:vAlign w:val="center"/>
            <w:hideMark/>
          </w:tcPr>
          <w:p w14:paraId="63DA4F7C"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49283957"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1</w:t>
            </w:r>
          </w:p>
        </w:tc>
        <w:tc>
          <w:tcPr>
            <w:tcW w:w="780" w:type="dxa"/>
            <w:tcBorders>
              <w:top w:val="nil"/>
              <w:left w:val="nil"/>
              <w:bottom w:val="single" w:sz="4" w:space="0" w:color="auto"/>
              <w:right w:val="single" w:sz="4" w:space="0" w:color="auto"/>
            </w:tcBorders>
            <w:shd w:val="clear" w:color="000000" w:fill="FFFFFF"/>
            <w:hideMark/>
          </w:tcPr>
          <w:p w14:paraId="272C8AA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1398.00</w:t>
            </w:r>
          </w:p>
        </w:tc>
        <w:tc>
          <w:tcPr>
            <w:tcW w:w="880" w:type="dxa"/>
            <w:tcBorders>
              <w:top w:val="nil"/>
              <w:left w:val="nil"/>
              <w:bottom w:val="single" w:sz="4" w:space="0" w:color="auto"/>
              <w:right w:val="single" w:sz="4" w:space="0" w:color="auto"/>
            </w:tcBorders>
            <w:shd w:val="clear" w:color="000000" w:fill="FFFFFF"/>
            <w:hideMark/>
          </w:tcPr>
          <w:p w14:paraId="72D036E1"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206.00</w:t>
            </w:r>
          </w:p>
        </w:tc>
        <w:tc>
          <w:tcPr>
            <w:tcW w:w="700" w:type="dxa"/>
            <w:tcBorders>
              <w:top w:val="nil"/>
              <w:left w:val="nil"/>
              <w:bottom w:val="single" w:sz="4" w:space="0" w:color="auto"/>
              <w:right w:val="single" w:sz="4" w:space="0" w:color="auto"/>
            </w:tcBorders>
            <w:shd w:val="clear" w:color="000000" w:fill="FFFFFF"/>
            <w:hideMark/>
          </w:tcPr>
          <w:p w14:paraId="38D64C8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87.16</w:t>
            </w:r>
          </w:p>
        </w:tc>
        <w:tc>
          <w:tcPr>
            <w:tcW w:w="680" w:type="dxa"/>
            <w:tcBorders>
              <w:top w:val="nil"/>
              <w:left w:val="nil"/>
              <w:bottom w:val="single" w:sz="4" w:space="0" w:color="auto"/>
              <w:right w:val="single" w:sz="8" w:space="0" w:color="auto"/>
            </w:tcBorders>
            <w:shd w:val="clear" w:color="000000" w:fill="FFFFFF"/>
            <w:hideMark/>
          </w:tcPr>
          <w:p w14:paraId="1041A09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12.84</w:t>
            </w:r>
          </w:p>
        </w:tc>
      </w:tr>
      <w:tr w:rsidR="002B7046" w:rsidRPr="002B7046" w14:paraId="691C370F"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55DB21A6"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1580" w:type="dxa"/>
            <w:tcBorders>
              <w:top w:val="nil"/>
              <w:left w:val="nil"/>
              <w:bottom w:val="single" w:sz="4" w:space="0" w:color="auto"/>
              <w:right w:val="single" w:sz="4" w:space="0" w:color="auto"/>
            </w:tcBorders>
            <w:shd w:val="clear" w:color="000000" w:fill="FFFFFF"/>
            <w:hideMark/>
          </w:tcPr>
          <w:p w14:paraId="52A6BF2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14.9564</w:t>
            </w:r>
          </w:p>
        </w:tc>
        <w:tc>
          <w:tcPr>
            <w:tcW w:w="1680" w:type="dxa"/>
            <w:tcBorders>
              <w:top w:val="nil"/>
              <w:left w:val="nil"/>
              <w:bottom w:val="single" w:sz="4" w:space="0" w:color="auto"/>
              <w:right w:val="single" w:sz="4" w:space="0" w:color="auto"/>
            </w:tcBorders>
            <w:shd w:val="clear" w:color="000000" w:fill="FFFFFF"/>
            <w:hideMark/>
          </w:tcPr>
          <w:p w14:paraId="62006A4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12.7690</w:t>
            </w:r>
          </w:p>
        </w:tc>
        <w:tc>
          <w:tcPr>
            <w:tcW w:w="1180" w:type="dxa"/>
            <w:vMerge/>
            <w:tcBorders>
              <w:top w:val="nil"/>
              <w:left w:val="single" w:sz="4" w:space="0" w:color="auto"/>
              <w:bottom w:val="single" w:sz="4" w:space="0" w:color="000000"/>
              <w:right w:val="single" w:sz="4" w:space="0" w:color="auto"/>
            </w:tcBorders>
            <w:vAlign w:val="center"/>
            <w:hideMark/>
          </w:tcPr>
          <w:p w14:paraId="44F9EC3A"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42E83D05"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2</w:t>
            </w:r>
          </w:p>
        </w:tc>
        <w:tc>
          <w:tcPr>
            <w:tcW w:w="780" w:type="dxa"/>
            <w:tcBorders>
              <w:top w:val="nil"/>
              <w:left w:val="nil"/>
              <w:bottom w:val="single" w:sz="4" w:space="0" w:color="auto"/>
              <w:right w:val="single" w:sz="4" w:space="0" w:color="auto"/>
            </w:tcBorders>
            <w:shd w:val="clear" w:color="000000" w:fill="FFFFFF"/>
            <w:hideMark/>
          </w:tcPr>
          <w:p w14:paraId="6279BB6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1384.00</w:t>
            </w:r>
          </w:p>
        </w:tc>
        <w:tc>
          <w:tcPr>
            <w:tcW w:w="880" w:type="dxa"/>
            <w:tcBorders>
              <w:top w:val="nil"/>
              <w:left w:val="nil"/>
              <w:bottom w:val="single" w:sz="4" w:space="0" w:color="auto"/>
              <w:right w:val="single" w:sz="4" w:space="0" w:color="auto"/>
            </w:tcBorders>
            <w:shd w:val="clear" w:color="000000" w:fill="FFFFFF"/>
            <w:hideMark/>
          </w:tcPr>
          <w:p w14:paraId="7316A53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220.00</w:t>
            </w:r>
          </w:p>
        </w:tc>
        <w:tc>
          <w:tcPr>
            <w:tcW w:w="700" w:type="dxa"/>
            <w:tcBorders>
              <w:top w:val="nil"/>
              <w:left w:val="nil"/>
              <w:bottom w:val="single" w:sz="4" w:space="0" w:color="auto"/>
              <w:right w:val="single" w:sz="4" w:space="0" w:color="auto"/>
            </w:tcBorders>
            <w:shd w:val="clear" w:color="000000" w:fill="FFFFFF"/>
            <w:hideMark/>
          </w:tcPr>
          <w:p w14:paraId="46CE4B6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86.28</w:t>
            </w:r>
          </w:p>
        </w:tc>
        <w:tc>
          <w:tcPr>
            <w:tcW w:w="680" w:type="dxa"/>
            <w:tcBorders>
              <w:top w:val="nil"/>
              <w:left w:val="nil"/>
              <w:bottom w:val="single" w:sz="4" w:space="0" w:color="auto"/>
              <w:right w:val="single" w:sz="8" w:space="0" w:color="auto"/>
            </w:tcBorders>
            <w:shd w:val="clear" w:color="000000" w:fill="FFFFFF"/>
            <w:hideMark/>
          </w:tcPr>
          <w:p w14:paraId="732EE53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13.72</w:t>
            </w:r>
          </w:p>
        </w:tc>
      </w:tr>
      <w:tr w:rsidR="002B7046" w:rsidRPr="002B7046" w14:paraId="405A0B50"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7A7930C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Difference</w:t>
            </w:r>
          </w:p>
        </w:tc>
        <w:tc>
          <w:tcPr>
            <w:tcW w:w="1580" w:type="dxa"/>
            <w:tcBorders>
              <w:top w:val="nil"/>
              <w:left w:val="nil"/>
              <w:bottom w:val="single" w:sz="4" w:space="0" w:color="auto"/>
              <w:right w:val="single" w:sz="4" w:space="0" w:color="auto"/>
            </w:tcBorders>
            <w:shd w:val="clear" w:color="000000" w:fill="FFFFFF"/>
            <w:hideMark/>
          </w:tcPr>
          <w:p w14:paraId="16507B6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8.4560</w:t>
            </w:r>
          </w:p>
        </w:tc>
        <w:tc>
          <w:tcPr>
            <w:tcW w:w="1680" w:type="dxa"/>
            <w:tcBorders>
              <w:top w:val="nil"/>
              <w:left w:val="nil"/>
              <w:bottom w:val="single" w:sz="4" w:space="0" w:color="auto"/>
              <w:right w:val="single" w:sz="4" w:space="0" w:color="auto"/>
            </w:tcBorders>
            <w:shd w:val="clear" w:color="000000" w:fill="FFFFFF"/>
            <w:hideMark/>
          </w:tcPr>
          <w:p w14:paraId="289B4B9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5.4202</w:t>
            </w:r>
          </w:p>
        </w:tc>
        <w:tc>
          <w:tcPr>
            <w:tcW w:w="1180" w:type="dxa"/>
            <w:vMerge/>
            <w:tcBorders>
              <w:top w:val="nil"/>
              <w:left w:val="single" w:sz="4" w:space="0" w:color="auto"/>
              <w:bottom w:val="single" w:sz="4" w:space="0" w:color="000000"/>
              <w:right w:val="single" w:sz="4" w:space="0" w:color="auto"/>
            </w:tcBorders>
            <w:vAlign w:val="center"/>
            <w:hideMark/>
          </w:tcPr>
          <w:p w14:paraId="68AF3DD6"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25E4291D"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3</w:t>
            </w:r>
          </w:p>
        </w:tc>
        <w:tc>
          <w:tcPr>
            <w:tcW w:w="780" w:type="dxa"/>
            <w:tcBorders>
              <w:top w:val="nil"/>
              <w:left w:val="nil"/>
              <w:bottom w:val="single" w:sz="4" w:space="0" w:color="auto"/>
              <w:right w:val="single" w:sz="4" w:space="0" w:color="auto"/>
            </w:tcBorders>
            <w:shd w:val="clear" w:color="000000" w:fill="FFFFFF"/>
            <w:hideMark/>
          </w:tcPr>
          <w:p w14:paraId="3D0A065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1422.00</w:t>
            </w:r>
          </w:p>
        </w:tc>
        <w:tc>
          <w:tcPr>
            <w:tcW w:w="880" w:type="dxa"/>
            <w:tcBorders>
              <w:top w:val="nil"/>
              <w:left w:val="nil"/>
              <w:bottom w:val="single" w:sz="4" w:space="0" w:color="auto"/>
              <w:right w:val="single" w:sz="4" w:space="0" w:color="auto"/>
            </w:tcBorders>
            <w:shd w:val="clear" w:color="000000" w:fill="FFFFFF"/>
            <w:hideMark/>
          </w:tcPr>
          <w:p w14:paraId="44A30CE7"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182.00</w:t>
            </w:r>
          </w:p>
        </w:tc>
        <w:tc>
          <w:tcPr>
            <w:tcW w:w="700" w:type="dxa"/>
            <w:tcBorders>
              <w:top w:val="nil"/>
              <w:left w:val="nil"/>
              <w:bottom w:val="single" w:sz="4" w:space="0" w:color="auto"/>
              <w:right w:val="single" w:sz="4" w:space="0" w:color="auto"/>
            </w:tcBorders>
            <w:shd w:val="clear" w:color="000000" w:fill="FFFFFF"/>
            <w:hideMark/>
          </w:tcPr>
          <w:p w14:paraId="3E32E21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88.65</w:t>
            </w:r>
          </w:p>
        </w:tc>
        <w:tc>
          <w:tcPr>
            <w:tcW w:w="680" w:type="dxa"/>
            <w:tcBorders>
              <w:top w:val="nil"/>
              <w:left w:val="nil"/>
              <w:bottom w:val="single" w:sz="4" w:space="0" w:color="auto"/>
              <w:right w:val="single" w:sz="8" w:space="0" w:color="auto"/>
            </w:tcBorders>
            <w:shd w:val="clear" w:color="000000" w:fill="FFFFFF"/>
            <w:hideMark/>
          </w:tcPr>
          <w:p w14:paraId="4117927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11.35</w:t>
            </w:r>
          </w:p>
        </w:tc>
      </w:tr>
      <w:tr w:rsidR="002B7046" w:rsidRPr="002B7046" w14:paraId="0CB2DB59"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5970C51E"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Pay Gap %</w:t>
            </w:r>
          </w:p>
        </w:tc>
        <w:tc>
          <w:tcPr>
            <w:tcW w:w="1580" w:type="dxa"/>
            <w:tcBorders>
              <w:top w:val="nil"/>
              <w:left w:val="nil"/>
              <w:bottom w:val="single" w:sz="4" w:space="0" w:color="auto"/>
              <w:right w:val="single" w:sz="4" w:space="0" w:color="auto"/>
            </w:tcBorders>
            <w:shd w:val="clear" w:color="000000" w:fill="FFFFFF"/>
            <w:hideMark/>
          </w:tcPr>
          <w:p w14:paraId="5646ED8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36.1177</w:t>
            </w:r>
          </w:p>
        </w:tc>
        <w:tc>
          <w:tcPr>
            <w:tcW w:w="1680" w:type="dxa"/>
            <w:tcBorders>
              <w:top w:val="nil"/>
              <w:left w:val="nil"/>
              <w:bottom w:val="single" w:sz="4" w:space="0" w:color="auto"/>
              <w:right w:val="single" w:sz="4" w:space="0" w:color="auto"/>
            </w:tcBorders>
            <w:shd w:val="clear" w:color="000000" w:fill="FFFFFF"/>
            <w:hideMark/>
          </w:tcPr>
          <w:p w14:paraId="7A1462B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29.7992</w:t>
            </w:r>
          </w:p>
        </w:tc>
        <w:tc>
          <w:tcPr>
            <w:tcW w:w="1180" w:type="dxa"/>
            <w:vMerge/>
            <w:tcBorders>
              <w:top w:val="nil"/>
              <w:left w:val="single" w:sz="4" w:space="0" w:color="auto"/>
              <w:bottom w:val="single" w:sz="4" w:space="0" w:color="000000"/>
              <w:right w:val="single" w:sz="4" w:space="0" w:color="auto"/>
            </w:tcBorders>
            <w:vAlign w:val="center"/>
            <w:hideMark/>
          </w:tcPr>
          <w:p w14:paraId="7B1CB3B0"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17266EA3"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4</w:t>
            </w:r>
          </w:p>
        </w:tc>
        <w:tc>
          <w:tcPr>
            <w:tcW w:w="780" w:type="dxa"/>
            <w:tcBorders>
              <w:top w:val="nil"/>
              <w:left w:val="nil"/>
              <w:bottom w:val="single" w:sz="4" w:space="0" w:color="auto"/>
              <w:right w:val="single" w:sz="4" w:space="0" w:color="auto"/>
            </w:tcBorders>
            <w:shd w:val="clear" w:color="000000" w:fill="FFFFFF"/>
            <w:hideMark/>
          </w:tcPr>
          <w:p w14:paraId="386F14E5"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1059.00</w:t>
            </w:r>
          </w:p>
        </w:tc>
        <w:tc>
          <w:tcPr>
            <w:tcW w:w="880" w:type="dxa"/>
            <w:tcBorders>
              <w:top w:val="nil"/>
              <w:left w:val="nil"/>
              <w:bottom w:val="single" w:sz="4" w:space="0" w:color="auto"/>
              <w:right w:val="single" w:sz="4" w:space="0" w:color="auto"/>
            </w:tcBorders>
            <w:shd w:val="clear" w:color="000000" w:fill="FFFFFF"/>
            <w:hideMark/>
          </w:tcPr>
          <w:p w14:paraId="1881591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546.00</w:t>
            </w:r>
          </w:p>
        </w:tc>
        <w:tc>
          <w:tcPr>
            <w:tcW w:w="700" w:type="dxa"/>
            <w:tcBorders>
              <w:top w:val="nil"/>
              <w:left w:val="nil"/>
              <w:bottom w:val="single" w:sz="4" w:space="0" w:color="auto"/>
              <w:right w:val="single" w:sz="4" w:space="0" w:color="auto"/>
            </w:tcBorders>
            <w:shd w:val="clear" w:color="000000" w:fill="FFFFFF"/>
            <w:hideMark/>
          </w:tcPr>
          <w:p w14:paraId="35431D7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65.98</w:t>
            </w:r>
          </w:p>
        </w:tc>
        <w:tc>
          <w:tcPr>
            <w:tcW w:w="680" w:type="dxa"/>
            <w:tcBorders>
              <w:top w:val="nil"/>
              <w:left w:val="nil"/>
              <w:bottom w:val="single" w:sz="4" w:space="0" w:color="auto"/>
              <w:right w:val="single" w:sz="8" w:space="0" w:color="auto"/>
            </w:tcBorders>
            <w:shd w:val="clear" w:color="000000" w:fill="FFFFFF"/>
            <w:hideMark/>
          </w:tcPr>
          <w:p w14:paraId="6ACE703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34.02</w:t>
            </w:r>
          </w:p>
        </w:tc>
      </w:tr>
      <w:tr w:rsidR="002B7046" w:rsidRPr="002B7046" w14:paraId="5A931B23"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4495AD3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 </w:t>
            </w:r>
          </w:p>
        </w:tc>
        <w:tc>
          <w:tcPr>
            <w:tcW w:w="1580" w:type="dxa"/>
            <w:tcBorders>
              <w:top w:val="nil"/>
              <w:left w:val="nil"/>
              <w:bottom w:val="single" w:sz="4" w:space="0" w:color="auto"/>
              <w:right w:val="single" w:sz="4" w:space="0" w:color="auto"/>
            </w:tcBorders>
            <w:shd w:val="clear" w:color="000000" w:fill="FFFFFF"/>
            <w:hideMark/>
          </w:tcPr>
          <w:p w14:paraId="3D21EBB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 </w:t>
            </w:r>
          </w:p>
        </w:tc>
        <w:tc>
          <w:tcPr>
            <w:tcW w:w="1680" w:type="dxa"/>
            <w:tcBorders>
              <w:top w:val="nil"/>
              <w:left w:val="nil"/>
              <w:bottom w:val="single" w:sz="4" w:space="0" w:color="auto"/>
              <w:right w:val="single" w:sz="4" w:space="0" w:color="auto"/>
            </w:tcBorders>
            <w:shd w:val="clear" w:color="000000" w:fill="FFFFFF"/>
            <w:hideMark/>
          </w:tcPr>
          <w:p w14:paraId="595BDCA9"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 </w:t>
            </w:r>
          </w:p>
        </w:tc>
        <w:tc>
          <w:tcPr>
            <w:tcW w:w="1180" w:type="dxa"/>
            <w:vMerge/>
            <w:tcBorders>
              <w:top w:val="nil"/>
              <w:left w:val="single" w:sz="4" w:space="0" w:color="auto"/>
              <w:bottom w:val="single" w:sz="4" w:space="0" w:color="000000"/>
              <w:right w:val="single" w:sz="4" w:space="0" w:color="auto"/>
            </w:tcBorders>
            <w:vAlign w:val="center"/>
            <w:hideMark/>
          </w:tcPr>
          <w:p w14:paraId="342D26CC"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FFFFFF"/>
            <w:hideMark/>
          </w:tcPr>
          <w:p w14:paraId="43362D10"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 </w:t>
            </w:r>
          </w:p>
        </w:tc>
        <w:tc>
          <w:tcPr>
            <w:tcW w:w="780" w:type="dxa"/>
            <w:tcBorders>
              <w:top w:val="nil"/>
              <w:left w:val="nil"/>
              <w:bottom w:val="single" w:sz="4" w:space="0" w:color="auto"/>
              <w:right w:val="single" w:sz="4" w:space="0" w:color="auto"/>
            </w:tcBorders>
            <w:shd w:val="clear" w:color="000000" w:fill="FFFFFF"/>
            <w:hideMark/>
          </w:tcPr>
          <w:p w14:paraId="106B8732"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 </w:t>
            </w:r>
          </w:p>
        </w:tc>
        <w:tc>
          <w:tcPr>
            <w:tcW w:w="880" w:type="dxa"/>
            <w:tcBorders>
              <w:top w:val="nil"/>
              <w:left w:val="nil"/>
              <w:bottom w:val="single" w:sz="4" w:space="0" w:color="auto"/>
              <w:right w:val="single" w:sz="4" w:space="0" w:color="auto"/>
            </w:tcBorders>
            <w:shd w:val="clear" w:color="000000" w:fill="FFFFFF"/>
            <w:hideMark/>
          </w:tcPr>
          <w:p w14:paraId="082E4E7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 </w:t>
            </w:r>
          </w:p>
        </w:tc>
        <w:tc>
          <w:tcPr>
            <w:tcW w:w="700" w:type="dxa"/>
            <w:tcBorders>
              <w:top w:val="nil"/>
              <w:left w:val="nil"/>
              <w:bottom w:val="single" w:sz="4" w:space="0" w:color="auto"/>
              <w:right w:val="single" w:sz="4" w:space="0" w:color="auto"/>
            </w:tcBorders>
            <w:shd w:val="clear" w:color="000000" w:fill="FFFFFF"/>
            <w:hideMark/>
          </w:tcPr>
          <w:p w14:paraId="73855278"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 </w:t>
            </w:r>
          </w:p>
        </w:tc>
        <w:tc>
          <w:tcPr>
            <w:tcW w:w="680" w:type="dxa"/>
            <w:tcBorders>
              <w:top w:val="nil"/>
              <w:left w:val="nil"/>
              <w:bottom w:val="single" w:sz="4" w:space="0" w:color="auto"/>
              <w:right w:val="single" w:sz="8" w:space="0" w:color="auto"/>
            </w:tcBorders>
            <w:shd w:val="clear" w:color="000000" w:fill="FFFFFF"/>
            <w:hideMark/>
          </w:tcPr>
          <w:p w14:paraId="5CB9AF9E"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 </w:t>
            </w:r>
          </w:p>
        </w:tc>
      </w:tr>
      <w:tr w:rsidR="002B7046" w:rsidRPr="002B7046" w14:paraId="7D832674" w14:textId="77777777" w:rsidTr="002B7046">
        <w:trPr>
          <w:trHeight w:val="288"/>
        </w:trPr>
        <w:tc>
          <w:tcPr>
            <w:tcW w:w="970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884E647"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Mar-21</w:t>
            </w:r>
          </w:p>
        </w:tc>
      </w:tr>
      <w:tr w:rsidR="002B7046" w:rsidRPr="002B7046" w14:paraId="0BD29164" w14:textId="77777777" w:rsidTr="002B7046">
        <w:trPr>
          <w:trHeight w:val="408"/>
        </w:trPr>
        <w:tc>
          <w:tcPr>
            <w:tcW w:w="1160" w:type="dxa"/>
            <w:tcBorders>
              <w:top w:val="nil"/>
              <w:left w:val="single" w:sz="8" w:space="0" w:color="auto"/>
              <w:bottom w:val="single" w:sz="4" w:space="0" w:color="auto"/>
              <w:right w:val="single" w:sz="4" w:space="0" w:color="auto"/>
            </w:tcBorders>
            <w:shd w:val="clear" w:color="000000" w:fill="0066CC"/>
            <w:hideMark/>
          </w:tcPr>
          <w:p w14:paraId="2B67293A"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580" w:type="dxa"/>
            <w:tcBorders>
              <w:top w:val="nil"/>
              <w:left w:val="nil"/>
              <w:bottom w:val="single" w:sz="4" w:space="0" w:color="auto"/>
              <w:right w:val="single" w:sz="4" w:space="0" w:color="auto"/>
            </w:tcBorders>
            <w:shd w:val="clear" w:color="000000" w:fill="0066CC"/>
            <w:hideMark/>
          </w:tcPr>
          <w:p w14:paraId="2FA55DEE"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Avg. Hourly Rate</w:t>
            </w:r>
          </w:p>
        </w:tc>
        <w:tc>
          <w:tcPr>
            <w:tcW w:w="1680" w:type="dxa"/>
            <w:tcBorders>
              <w:top w:val="nil"/>
              <w:left w:val="nil"/>
              <w:bottom w:val="single" w:sz="4" w:space="0" w:color="auto"/>
              <w:right w:val="single" w:sz="4" w:space="0" w:color="auto"/>
            </w:tcBorders>
            <w:shd w:val="clear" w:color="000000" w:fill="0066CC"/>
            <w:hideMark/>
          </w:tcPr>
          <w:p w14:paraId="76112E5A"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Median Hourly Rate</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C2A0F" w14:textId="77777777" w:rsidR="002B7046" w:rsidRPr="0003674A" w:rsidRDefault="002B7046" w:rsidP="002B7046">
            <w:pPr>
              <w:spacing w:after="0" w:line="240" w:lineRule="auto"/>
              <w:jc w:val="center"/>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060" w:type="dxa"/>
            <w:tcBorders>
              <w:top w:val="nil"/>
              <w:left w:val="nil"/>
              <w:bottom w:val="single" w:sz="4" w:space="0" w:color="auto"/>
              <w:right w:val="single" w:sz="4" w:space="0" w:color="auto"/>
            </w:tcBorders>
            <w:shd w:val="clear" w:color="000000" w:fill="0066CC"/>
            <w:hideMark/>
          </w:tcPr>
          <w:p w14:paraId="15564291"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Quartile</w:t>
            </w:r>
          </w:p>
        </w:tc>
        <w:tc>
          <w:tcPr>
            <w:tcW w:w="780" w:type="dxa"/>
            <w:tcBorders>
              <w:top w:val="nil"/>
              <w:left w:val="nil"/>
              <w:bottom w:val="single" w:sz="4" w:space="0" w:color="auto"/>
              <w:right w:val="single" w:sz="4" w:space="0" w:color="auto"/>
            </w:tcBorders>
            <w:shd w:val="clear" w:color="000000" w:fill="0066CC"/>
            <w:hideMark/>
          </w:tcPr>
          <w:p w14:paraId="2944623C"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880" w:type="dxa"/>
            <w:tcBorders>
              <w:top w:val="nil"/>
              <w:left w:val="nil"/>
              <w:bottom w:val="single" w:sz="4" w:space="0" w:color="auto"/>
              <w:right w:val="single" w:sz="4" w:space="0" w:color="auto"/>
            </w:tcBorders>
            <w:shd w:val="clear" w:color="000000" w:fill="0066CC"/>
            <w:hideMark/>
          </w:tcPr>
          <w:p w14:paraId="3F795C0F"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700" w:type="dxa"/>
            <w:tcBorders>
              <w:top w:val="nil"/>
              <w:left w:val="nil"/>
              <w:bottom w:val="single" w:sz="4" w:space="0" w:color="auto"/>
              <w:right w:val="single" w:sz="4" w:space="0" w:color="auto"/>
            </w:tcBorders>
            <w:shd w:val="clear" w:color="000000" w:fill="0066CC"/>
            <w:hideMark/>
          </w:tcPr>
          <w:p w14:paraId="2DCD712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 %</w:t>
            </w:r>
          </w:p>
        </w:tc>
        <w:tc>
          <w:tcPr>
            <w:tcW w:w="680" w:type="dxa"/>
            <w:tcBorders>
              <w:top w:val="nil"/>
              <w:left w:val="nil"/>
              <w:bottom w:val="single" w:sz="4" w:space="0" w:color="auto"/>
              <w:right w:val="single" w:sz="8" w:space="0" w:color="auto"/>
            </w:tcBorders>
            <w:shd w:val="clear" w:color="000000" w:fill="0066CC"/>
            <w:hideMark/>
          </w:tcPr>
          <w:p w14:paraId="3D79FC58"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 %</w:t>
            </w:r>
          </w:p>
        </w:tc>
      </w:tr>
      <w:tr w:rsidR="002B7046" w:rsidRPr="002B7046" w14:paraId="51A3083A"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28205F81"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1580" w:type="dxa"/>
            <w:tcBorders>
              <w:top w:val="single" w:sz="4" w:space="0" w:color="979991"/>
              <w:left w:val="single" w:sz="4" w:space="0" w:color="979991"/>
              <w:bottom w:val="single" w:sz="4" w:space="0" w:color="979991"/>
              <w:right w:val="nil"/>
            </w:tcBorders>
            <w:shd w:val="clear" w:color="000000" w:fill="FFFFFF"/>
            <w:hideMark/>
          </w:tcPr>
          <w:p w14:paraId="7CFC97D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23.4280</w:t>
            </w:r>
          </w:p>
        </w:tc>
        <w:tc>
          <w:tcPr>
            <w:tcW w:w="1680" w:type="dxa"/>
            <w:tcBorders>
              <w:top w:val="single" w:sz="4" w:space="0" w:color="979991"/>
              <w:left w:val="single" w:sz="4" w:space="0" w:color="979991"/>
              <w:bottom w:val="single" w:sz="4" w:space="0" w:color="979991"/>
              <w:right w:val="single" w:sz="4" w:space="0" w:color="979991"/>
            </w:tcBorders>
            <w:shd w:val="clear" w:color="000000" w:fill="FFFFFF"/>
            <w:hideMark/>
          </w:tcPr>
          <w:p w14:paraId="015A64A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18.0998</w:t>
            </w:r>
          </w:p>
        </w:tc>
        <w:tc>
          <w:tcPr>
            <w:tcW w:w="1180" w:type="dxa"/>
            <w:vMerge/>
            <w:tcBorders>
              <w:top w:val="nil"/>
              <w:left w:val="single" w:sz="4" w:space="0" w:color="auto"/>
              <w:bottom w:val="single" w:sz="4" w:space="0" w:color="000000"/>
              <w:right w:val="single" w:sz="4" w:space="0" w:color="auto"/>
            </w:tcBorders>
            <w:vAlign w:val="center"/>
            <w:hideMark/>
          </w:tcPr>
          <w:p w14:paraId="03D54301"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27781E09"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1</w:t>
            </w:r>
          </w:p>
        </w:tc>
        <w:tc>
          <w:tcPr>
            <w:tcW w:w="780" w:type="dxa"/>
            <w:tcBorders>
              <w:top w:val="single" w:sz="4" w:space="0" w:color="979991"/>
              <w:left w:val="single" w:sz="4" w:space="0" w:color="979991"/>
              <w:bottom w:val="single" w:sz="4" w:space="0" w:color="979991"/>
              <w:right w:val="nil"/>
            </w:tcBorders>
            <w:shd w:val="clear" w:color="000000" w:fill="FFFFFF"/>
            <w:hideMark/>
          </w:tcPr>
          <w:p w14:paraId="462505B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1381.00</w:t>
            </w:r>
          </w:p>
        </w:tc>
        <w:tc>
          <w:tcPr>
            <w:tcW w:w="880" w:type="dxa"/>
            <w:tcBorders>
              <w:top w:val="single" w:sz="4" w:space="0" w:color="979991"/>
              <w:left w:val="single" w:sz="4" w:space="0" w:color="979991"/>
              <w:bottom w:val="single" w:sz="4" w:space="0" w:color="979991"/>
              <w:right w:val="nil"/>
            </w:tcBorders>
            <w:shd w:val="clear" w:color="000000" w:fill="FFFFFF"/>
            <w:hideMark/>
          </w:tcPr>
          <w:p w14:paraId="1559DC45"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217.00</w:t>
            </w:r>
          </w:p>
        </w:tc>
        <w:tc>
          <w:tcPr>
            <w:tcW w:w="700" w:type="dxa"/>
            <w:tcBorders>
              <w:top w:val="single" w:sz="4" w:space="0" w:color="979991"/>
              <w:left w:val="single" w:sz="4" w:space="0" w:color="979991"/>
              <w:bottom w:val="single" w:sz="4" w:space="0" w:color="979991"/>
              <w:right w:val="nil"/>
            </w:tcBorders>
            <w:shd w:val="clear" w:color="000000" w:fill="FFFFFF"/>
            <w:hideMark/>
          </w:tcPr>
          <w:p w14:paraId="3364127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86.42</w:t>
            </w:r>
          </w:p>
        </w:tc>
        <w:tc>
          <w:tcPr>
            <w:tcW w:w="680" w:type="dxa"/>
            <w:tcBorders>
              <w:top w:val="single" w:sz="4" w:space="0" w:color="979991"/>
              <w:left w:val="single" w:sz="4" w:space="0" w:color="979991"/>
              <w:bottom w:val="single" w:sz="4" w:space="0" w:color="979991"/>
              <w:right w:val="single" w:sz="4" w:space="0" w:color="979991"/>
            </w:tcBorders>
            <w:shd w:val="clear" w:color="000000" w:fill="FFFFFF"/>
            <w:hideMark/>
          </w:tcPr>
          <w:p w14:paraId="212633E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13.58</w:t>
            </w:r>
          </w:p>
        </w:tc>
      </w:tr>
      <w:tr w:rsidR="002B7046" w:rsidRPr="002B7046" w14:paraId="15BBC32B"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767F7FF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1580" w:type="dxa"/>
            <w:tcBorders>
              <w:top w:val="nil"/>
              <w:left w:val="single" w:sz="4" w:space="0" w:color="979991"/>
              <w:bottom w:val="single" w:sz="4" w:space="0" w:color="979991"/>
              <w:right w:val="nil"/>
            </w:tcBorders>
            <w:shd w:val="clear" w:color="000000" w:fill="FFFFFF"/>
            <w:hideMark/>
          </w:tcPr>
          <w:p w14:paraId="145C4FD1"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15.3841</w:t>
            </w:r>
          </w:p>
        </w:tc>
        <w:tc>
          <w:tcPr>
            <w:tcW w:w="1680" w:type="dxa"/>
            <w:tcBorders>
              <w:top w:val="nil"/>
              <w:left w:val="single" w:sz="4" w:space="0" w:color="979991"/>
              <w:bottom w:val="single" w:sz="4" w:space="0" w:color="979991"/>
              <w:right w:val="single" w:sz="4" w:space="0" w:color="979991"/>
            </w:tcBorders>
            <w:shd w:val="clear" w:color="000000" w:fill="FFFFFF"/>
            <w:hideMark/>
          </w:tcPr>
          <w:p w14:paraId="346EC3CB"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13.2064</w:t>
            </w:r>
          </w:p>
        </w:tc>
        <w:tc>
          <w:tcPr>
            <w:tcW w:w="1180" w:type="dxa"/>
            <w:vMerge/>
            <w:tcBorders>
              <w:top w:val="nil"/>
              <w:left w:val="single" w:sz="4" w:space="0" w:color="auto"/>
              <w:bottom w:val="single" w:sz="4" w:space="0" w:color="000000"/>
              <w:right w:val="single" w:sz="4" w:space="0" w:color="auto"/>
            </w:tcBorders>
            <w:vAlign w:val="center"/>
            <w:hideMark/>
          </w:tcPr>
          <w:p w14:paraId="185A056F"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508F4020"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2</w:t>
            </w:r>
          </w:p>
        </w:tc>
        <w:tc>
          <w:tcPr>
            <w:tcW w:w="780" w:type="dxa"/>
            <w:tcBorders>
              <w:top w:val="nil"/>
              <w:left w:val="single" w:sz="4" w:space="0" w:color="979991"/>
              <w:bottom w:val="single" w:sz="4" w:space="0" w:color="979991"/>
              <w:right w:val="nil"/>
            </w:tcBorders>
            <w:shd w:val="clear" w:color="000000" w:fill="FFFFFF"/>
            <w:hideMark/>
          </w:tcPr>
          <w:p w14:paraId="229BEC6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1449.00</w:t>
            </w:r>
          </w:p>
        </w:tc>
        <w:tc>
          <w:tcPr>
            <w:tcW w:w="880" w:type="dxa"/>
            <w:tcBorders>
              <w:top w:val="nil"/>
              <w:left w:val="single" w:sz="4" w:space="0" w:color="979991"/>
              <w:bottom w:val="single" w:sz="4" w:space="0" w:color="979991"/>
              <w:right w:val="nil"/>
            </w:tcBorders>
            <w:shd w:val="clear" w:color="000000" w:fill="FFFFFF"/>
            <w:hideMark/>
          </w:tcPr>
          <w:p w14:paraId="52CA2BE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214.00</w:t>
            </w:r>
          </w:p>
        </w:tc>
        <w:tc>
          <w:tcPr>
            <w:tcW w:w="700" w:type="dxa"/>
            <w:tcBorders>
              <w:top w:val="nil"/>
              <w:left w:val="single" w:sz="4" w:space="0" w:color="979991"/>
              <w:bottom w:val="single" w:sz="4" w:space="0" w:color="979991"/>
              <w:right w:val="nil"/>
            </w:tcBorders>
            <w:shd w:val="clear" w:color="000000" w:fill="FFFFFF"/>
            <w:hideMark/>
          </w:tcPr>
          <w:p w14:paraId="31020A2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87.13</w:t>
            </w:r>
          </w:p>
        </w:tc>
        <w:tc>
          <w:tcPr>
            <w:tcW w:w="680" w:type="dxa"/>
            <w:tcBorders>
              <w:top w:val="nil"/>
              <w:left w:val="single" w:sz="4" w:space="0" w:color="979991"/>
              <w:bottom w:val="single" w:sz="4" w:space="0" w:color="979991"/>
              <w:right w:val="single" w:sz="4" w:space="0" w:color="979991"/>
            </w:tcBorders>
            <w:shd w:val="clear" w:color="000000" w:fill="FFFFFF"/>
            <w:hideMark/>
          </w:tcPr>
          <w:p w14:paraId="364BD1C8"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12.87</w:t>
            </w:r>
          </w:p>
        </w:tc>
      </w:tr>
      <w:tr w:rsidR="002B7046" w:rsidRPr="002B7046" w14:paraId="75BB2C61"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5F3B1678"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Difference</w:t>
            </w:r>
          </w:p>
        </w:tc>
        <w:tc>
          <w:tcPr>
            <w:tcW w:w="1580" w:type="dxa"/>
            <w:tcBorders>
              <w:top w:val="nil"/>
              <w:left w:val="single" w:sz="4" w:space="0" w:color="979991"/>
              <w:bottom w:val="single" w:sz="4" w:space="0" w:color="979991"/>
              <w:right w:val="nil"/>
            </w:tcBorders>
            <w:shd w:val="clear" w:color="000000" w:fill="FFFFFF"/>
            <w:hideMark/>
          </w:tcPr>
          <w:p w14:paraId="78D9EF3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8.0440</w:t>
            </w:r>
          </w:p>
        </w:tc>
        <w:tc>
          <w:tcPr>
            <w:tcW w:w="1680" w:type="dxa"/>
            <w:tcBorders>
              <w:top w:val="nil"/>
              <w:left w:val="single" w:sz="4" w:space="0" w:color="979991"/>
              <w:bottom w:val="single" w:sz="4" w:space="0" w:color="979991"/>
              <w:right w:val="single" w:sz="4" w:space="0" w:color="979991"/>
            </w:tcBorders>
            <w:shd w:val="clear" w:color="000000" w:fill="FFFFFF"/>
            <w:hideMark/>
          </w:tcPr>
          <w:p w14:paraId="5BBB8B0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4.8934</w:t>
            </w:r>
          </w:p>
        </w:tc>
        <w:tc>
          <w:tcPr>
            <w:tcW w:w="1180" w:type="dxa"/>
            <w:vMerge/>
            <w:tcBorders>
              <w:top w:val="nil"/>
              <w:left w:val="single" w:sz="4" w:space="0" w:color="auto"/>
              <w:bottom w:val="single" w:sz="4" w:space="0" w:color="000000"/>
              <w:right w:val="single" w:sz="4" w:space="0" w:color="auto"/>
            </w:tcBorders>
            <w:vAlign w:val="center"/>
            <w:hideMark/>
          </w:tcPr>
          <w:p w14:paraId="44D0F78A"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1FB52FDE"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3</w:t>
            </w:r>
          </w:p>
        </w:tc>
        <w:tc>
          <w:tcPr>
            <w:tcW w:w="780" w:type="dxa"/>
            <w:tcBorders>
              <w:top w:val="nil"/>
              <w:left w:val="single" w:sz="4" w:space="0" w:color="979991"/>
              <w:bottom w:val="single" w:sz="4" w:space="0" w:color="979991"/>
              <w:right w:val="nil"/>
            </w:tcBorders>
            <w:shd w:val="clear" w:color="000000" w:fill="FFFFFF"/>
            <w:hideMark/>
          </w:tcPr>
          <w:p w14:paraId="04FA1D1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1422.00</w:t>
            </w:r>
          </w:p>
        </w:tc>
        <w:tc>
          <w:tcPr>
            <w:tcW w:w="880" w:type="dxa"/>
            <w:tcBorders>
              <w:top w:val="nil"/>
              <w:left w:val="single" w:sz="4" w:space="0" w:color="979991"/>
              <w:bottom w:val="single" w:sz="4" w:space="0" w:color="979991"/>
              <w:right w:val="nil"/>
            </w:tcBorders>
            <w:shd w:val="clear" w:color="000000" w:fill="FFFFFF"/>
            <w:hideMark/>
          </w:tcPr>
          <w:p w14:paraId="0A3B7D4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209.00</w:t>
            </w:r>
          </w:p>
        </w:tc>
        <w:tc>
          <w:tcPr>
            <w:tcW w:w="700" w:type="dxa"/>
            <w:tcBorders>
              <w:top w:val="nil"/>
              <w:left w:val="single" w:sz="4" w:space="0" w:color="979991"/>
              <w:bottom w:val="single" w:sz="4" w:space="0" w:color="979991"/>
              <w:right w:val="nil"/>
            </w:tcBorders>
            <w:shd w:val="clear" w:color="000000" w:fill="FFFFFF"/>
            <w:hideMark/>
          </w:tcPr>
          <w:p w14:paraId="27412EC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87.19</w:t>
            </w:r>
          </w:p>
        </w:tc>
        <w:tc>
          <w:tcPr>
            <w:tcW w:w="680" w:type="dxa"/>
            <w:tcBorders>
              <w:top w:val="nil"/>
              <w:left w:val="single" w:sz="4" w:space="0" w:color="979991"/>
              <w:bottom w:val="single" w:sz="4" w:space="0" w:color="979991"/>
              <w:right w:val="single" w:sz="4" w:space="0" w:color="979991"/>
            </w:tcBorders>
            <w:shd w:val="clear" w:color="000000" w:fill="FFFFFF"/>
            <w:hideMark/>
          </w:tcPr>
          <w:p w14:paraId="0AABA3E5"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12.81</w:t>
            </w:r>
          </w:p>
        </w:tc>
      </w:tr>
      <w:tr w:rsidR="002B7046" w:rsidRPr="002B7046" w14:paraId="43998DE7"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28A27B2D"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lastRenderedPageBreak/>
              <w:t>Pay Gap %</w:t>
            </w:r>
          </w:p>
        </w:tc>
        <w:tc>
          <w:tcPr>
            <w:tcW w:w="1580" w:type="dxa"/>
            <w:tcBorders>
              <w:top w:val="nil"/>
              <w:left w:val="single" w:sz="4" w:space="0" w:color="979991"/>
              <w:bottom w:val="single" w:sz="4" w:space="0" w:color="979991"/>
              <w:right w:val="nil"/>
            </w:tcBorders>
            <w:shd w:val="clear" w:color="000000" w:fill="FFFFFF"/>
            <w:hideMark/>
          </w:tcPr>
          <w:p w14:paraId="7C5C439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34.3347</w:t>
            </w:r>
          </w:p>
        </w:tc>
        <w:tc>
          <w:tcPr>
            <w:tcW w:w="1680" w:type="dxa"/>
            <w:tcBorders>
              <w:top w:val="nil"/>
              <w:left w:val="single" w:sz="4" w:space="0" w:color="979991"/>
              <w:bottom w:val="single" w:sz="4" w:space="0" w:color="979991"/>
              <w:right w:val="single" w:sz="4" w:space="0" w:color="979991"/>
            </w:tcBorders>
            <w:shd w:val="clear" w:color="000000" w:fill="FFFFFF"/>
            <w:hideMark/>
          </w:tcPr>
          <w:p w14:paraId="7A99D45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27.0358</w:t>
            </w:r>
          </w:p>
        </w:tc>
        <w:tc>
          <w:tcPr>
            <w:tcW w:w="1180" w:type="dxa"/>
            <w:vMerge/>
            <w:tcBorders>
              <w:top w:val="nil"/>
              <w:left w:val="single" w:sz="4" w:space="0" w:color="auto"/>
              <w:bottom w:val="single" w:sz="4" w:space="0" w:color="000000"/>
              <w:right w:val="single" w:sz="4" w:space="0" w:color="auto"/>
            </w:tcBorders>
            <w:vAlign w:val="center"/>
            <w:hideMark/>
          </w:tcPr>
          <w:p w14:paraId="7A7306F5"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29DED59F"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4</w:t>
            </w:r>
          </w:p>
        </w:tc>
        <w:tc>
          <w:tcPr>
            <w:tcW w:w="780" w:type="dxa"/>
            <w:tcBorders>
              <w:top w:val="nil"/>
              <w:left w:val="single" w:sz="4" w:space="0" w:color="979991"/>
              <w:bottom w:val="single" w:sz="4" w:space="0" w:color="979991"/>
              <w:right w:val="nil"/>
            </w:tcBorders>
            <w:shd w:val="clear" w:color="000000" w:fill="FFFFFF"/>
            <w:hideMark/>
          </w:tcPr>
          <w:p w14:paraId="64B60EE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1090.00</w:t>
            </w:r>
          </w:p>
        </w:tc>
        <w:tc>
          <w:tcPr>
            <w:tcW w:w="880" w:type="dxa"/>
            <w:tcBorders>
              <w:top w:val="nil"/>
              <w:left w:val="single" w:sz="4" w:space="0" w:color="979991"/>
              <w:bottom w:val="single" w:sz="4" w:space="0" w:color="979991"/>
              <w:right w:val="nil"/>
            </w:tcBorders>
            <w:shd w:val="clear" w:color="000000" w:fill="FFFFFF"/>
            <w:hideMark/>
          </w:tcPr>
          <w:p w14:paraId="37667B1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540.00</w:t>
            </w:r>
          </w:p>
        </w:tc>
        <w:tc>
          <w:tcPr>
            <w:tcW w:w="700" w:type="dxa"/>
            <w:tcBorders>
              <w:top w:val="nil"/>
              <w:left w:val="single" w:sz="4" w:space="0" w:color="979991"/>
              <w:bottom w:val="single" w:sz="4" w:space="0" w:color="979991"/>
              <w:right w:val="nil"/>
            </w:tcBorders>
            <w:shd w:val="clear" w:color="000000" w:fill="FFFFFF"/>
            <w:hideMark/>
          </w:tcPr>
          <w:p w14:paraId="718D5D5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66.87</w:t>
            </w:r>
          </w:p>
        </w:tc>
        <w:tc>
          <w:tcPr>
            <w:tcW w:w="680" w:type="dxa"/>
            <w:tcBorders>
              <w:top w:val="nil"/>
              <w:left w:val="single" w:sz="4" w:space="0" w:color="979991"/>
              <w:bottom w:val="single" w:sz="4" w:space="0" w:color="979991"/>
              <w:right w:val="single" w:sz="4" w:space="0" w:color="979991"/>
            </w:tcBorders>
            <w:shd w:val="clear" w:color="000000" w:fill="FFFFFF"/>
            <w:hideMark/>
          </w:tcPr>
          <w:p w14:paraId="5743156B"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33.13</w:t>
            </w:r>
          </w:p>
        </w:tc>
      </w:tr>
      <w:tr w:rsidR="002B7046" w:rsidRPr="002B7046" w14:paraId="41A7DF9D" w14:textId="77777777" w:rsidTr="002B7046">
        <w:trPr>
          <w:trHeight w:val="288"/>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4E59D33"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7CC95E7"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6E9F99CE"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180" w:type="dxa"/>
            <w:vMerge/>
            <w:tcBorders>
              <w:top w:val="nil"/>
              <w:left w:val="single" w:sz="4" w:space="0" w:color="auto"/>
              <w:bottom w:val="single" w:sz="4" w:space="0" w:color="000000"/>
              <w:right w:val="single" w:sz="4" w:space="0" w:color="auto"/>
            </w:tcBorders>
            <w:vAlign w:val="center"/>
            <w:hideMark/>
          </w:tcPr>
          <w:p w14:paraId="7BDC5A56"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auto" w:fill="auto"/>
            <w:noWrap/>
            <w:vAlign w:val="bottom"/>
            <w:hideMark/>
          </w:tcPr>
          <w:p w14:paraId="4F8281AA"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5CB52A4D"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D24BA1E"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504EB2F"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14:paraId="58BF658E"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2B7046" w:rsidRPr="002B7046" w14:paraId="39AF0A37" w14:textId="77777777" w:rsidTr="002B7046">
        <w:trPr>
          <w:trHeight w:val="288"/>
        </w:trPr>
        <w:tc>
          <w:tcPr>
            <w:tcW w:w="970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03A5A82"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20/21 comparison</w:t>
            </w:r>
          </w:p>
        </w:tc>
      </w:tr>
      <w:tr w:rsidR="002B7046" w:rsidRPr="002B7046" w14:paraId="4D33C1D9" w14:textId="77777777" w:rsidTr="002B7046">
        <w:trPr>
          <w:trHeight w:val="408"/>
        </w:trPr>
        <w:tc>
          <w:tcPr>
            <w:tcW w:w="1160" w:type="dxa"/>
            <w:tcBorders>
              <w:top w:val="nil"/>
              <w:left w:val="single" w:sz="8" w:space="0" w:color="auto"/>
              <w:bottom w:val="single" w:sz="4" w:space="0" w:color="auto"/>
              <w:right w:val="single" w:sz="4" w:space="0" w:color="auto"/>
            </w:tcBorders>
            <w:shd w:val="clear" w:color="000000" w:fill="0066CC"/>
            <w:hideMark/>
          </w:tcPr>
          <w:p w14:paraId="0B27A36B"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580" w:type="dxa"/>
            <w:tcBorders>
              <w:top w:val="nil"/>
              <w:left w:val="nil"/>
              <w:bottom w:val="single" w:sz="4" w:space="0" w:color="auto"/>
              <w:right w:val="single" w:sz="4" w:space="0" w:color="auto"/>
            </w:tcBorders>
            <w:shd w:val="clear" w:color="000000" w:fill="0066CC"/>
            <w:hideMark/>
          </w:tcPr>
          <w:p w14:paraId="0AB505A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Avg. Hourly Rate</w:t>
            </w:r>
          </w:p>
        </w:tc>
        <w:tc>
          <w:tcPr>
            <w:tcW w:w="1680" w:type="dxa"/>
            <w:tcBorders>
              <w:top w:val="nil"/>
              <w:left w:val="nil"/>
              <w:bottom w:val="single" w:sz="4" w:space="0" w:color="auto"/>
              <w:right w:val="single" w:sz="4" w:space="0" w:color="auto"/>
            </w:tcBorders>
            <w:shd w:val="clear" w:color="000000" w:fill="0066CC"/>
            <w:hideMark/>
          </w:tcPr>
          <w:p w14:paraId="5DA5CF7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Median Hourly Rate</w:t>
            </w:r>
          </w:p>
        </w:tc>
        <w:tc>
          <w:tcPr>
            <w:tcW w:w="118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D144013" w14:textId="77777777" w:rsidR="002B7046" w:rsidRPr="0003674A" w:rsidRDefault="002B7046" w:rsidP="002B7046">
            <w:pPr>
              <w:spacing w:after="0" w:line="240" w:lineRule="auto"/>
              <w:jc w:val="center"/>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060" w:type="dxa"/>
            <w:tcBorders>
              <w:top w:val="nil"/>
              <w:left w:val="nil"/>
              <w:bottom w:val="single" w:sz="4" w:space="0" w:color="auto"/>
              <w:right w:val="single" w:sz="4" w:space="0" w:color="auto"/>
            </w:tcBorders>
            <w:shd w:val="clear" w:color="000000" w:fill="0066CC"/>
            <w:hideMark/>
          </w:tcPr>
          <w:p w14:paraId="4CEAF5D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Quartile</w:t>
            </w:r>
          </w:p>
        </w:tc>
        <w:tc>
          <w:tcPr>
            <w:tcW w:w="780" w:type="dxa"/>
            <w:tcBorders>
              <w:top w:val="nil"/>
              <w:left w:val="nil"/>
              <w:bottom w:val="single" w:sz="4" w:space="0" w:color="auto"/>
              <w:right w:val="single" w:sz="4" w:space="0" w:color="auto"/>
            </w:tcBorders>
            <w:shd w:val="clear" w:color="000000" w:fill="0066CC"/>
            <w:hideMark/>
          </w:tcPr>
          <w:p w14:paraId="6CE50F64"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880" w:type="dxa"/>
            <w:tcBorders>
              <w:top w:val="nil"/>
              <w:left w:val="nil"/>
              <w:bottom w:val="single" w:sz="4" w:space="0" w:color="auto"/>
              <w:right w:val="single" w:sz="4" w:space="0" w:color="auto"/>
            </w:tcBorders>
            <w:shd w:val="clear" w:color="000000" w:fill="0066CC"/>
            <w:hideMark/>
          </w:tcPr>
          <w:p w14:paraId="2A8C5F93"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700" w:type="dxa"/>
            <w:tcBorders>
              <w:top w:val="nil"/>
              <w:left w:val="nil"/>
              <w:bottom w:val="single" w:sz="4" w:space="0" w:color="auto"/>
              <w:right w:val="single" w:sz="4" w:space="0" w:color="auto"/>
            </w:tcBorders>
            <w:shd w:val="clear" w:color="000000" w:fill="0066CC"/>
            <w:hideMark/>
          </w:tcPr>
          <w:p w14:paraId="663B41C6"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 %</w:t>
            </w:r>
          </w:p>
        </w:tc>
        <w:tc>
          <w:tcPr>
            <w:tcW w:w="680" w:type="dxa"/>
            <w:tcBorders>
              <w:top w:val="nil"/>
              <w:left w:val="nil"/>
              <w:bottom w:val="single" w:sz="4" w:space="0" w:color="auto"/>
              <w:right w:val="single" w:sz="8" w:space="0" w:color="auto"/>
            </w:tcBorders>
            <w:shd w:val="clear" w:color="000000" w:fill="0066CC"/>
            <w:hideMark/>
          </w:tcPr>
          <w:p w14:paraId="0A572BB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 %</w:t>
            </w:r>
          </w:p>
        </w:tc>
      </w:tr>
      <w:tr w:rsidR="002B7046" w:rsidRPr="002B7046" w14:paraId="5973B594"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55A0838A"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1580" w:type="dxa"/>
            <w:tcBorders>
              <w:top w:val="nil"/>
              <w:left w:val="nil"/>
              <w:bottom w:val="single" w:sz="4" w:space="0" w:color="auto"/>
              <w:right w:val="single" w:sz="4" w:space="0" w:color="auto"/>
            </w:tcBorders>
            <w:shd w:val="clear" w:color="000000" w:fill="FFFFFF"/>
            <w:hideMark/>
          </w:tcPr>
          <w:p w14:paraId="09E31995"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0.0156</w:t>
            </w:r>
          </w:p>
        </w:tc>
        <w:tc>
          <w:tcPr>
            <w:tcW w:w="1680" w:type="dxa"/>
            <w:tcBorders>
              <w:top w:val="nil"/>
              <w:left w:val="nil"/>
              <w:bottom w:val="single" w:sz="4" w:space="0" w:color="auto"/>
              <w:right w:val="single" w:sz="4" w:space="0" w:color="auto"/>
            </w:tcBorders>
            <w:shd w:val="clear" w:color="000000" w:fill="FFFFFF"/>
            <w:hideMark/>
          </w:tcPr>
          <w:p w14:paraId="6859117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-0.0894</w:t>
            </w:r>
          </w:p>
        </w:tc>
        <w:tc>
          <w:tcPr>
            <w:tcW w:w="1180" w:type="dxa"/>
            <w:vMerge/>
            <w:tcBorders>
              <w:top w:val="nil"/>
              <w:left w:val="single" w:sz="4" w:space="0" w:color="auto"/>
              <w:bottom w:val="single" w:sz="8" w:space="0" w:color="000000"/>
              <w:right w:val="single" w:sz="4" w:space="0" w:color="auto"/>
            </w:tcBorders>
            <w:vAlign w:val="center"/>
            <w:hideMark/>
          </w:tcPr>
          <w:p w14:paraId="3BFEEB40"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3D93CFDD"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1</w:t>
            </w:r>
          </w:p>
        </w:tc>
        <w:tc>
          <w:tcPr>
            <w:tcW w:w="780" w:type="dxa"/>
            <w:tcBorders>
              <w:top w:val="nil"/>
              <w:left w:val="nil"/>
              <w:bottom w:val="single" w:sz="4" w:space="0" w:color="auto"/>
              <w:right w:val="single" w:sz="4" w:space="0" w:color="auto"/>
            </w:tcBorders>
            <w:shd w:val="clear" w:color="000000" w:fill="FFFFFF"/>
            <w:hideMark/>
          </w:tcPr>
          <w:p w14:paraId="6A9A346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-17.00</w:t>
            </w:r>
          </w:p>
        </w:tc>
        <w:tc>
          <w:tcPr>
            <w:tcW w:w="880" w:type="dxa"/>
            <w:tcBorders>
              <w:top w:val="nil"/>
              <w:left w:val="nil"/>
              <w:bottom w:val="single" w:sz="4" w:space="0" w:color="auto"/>
              <w:right w:val="single" w:sz="4" w:space="0" w:color="auto"/>
            </w:tcBorders>
            <w:shd w:val="clear" w:color="000000" w:fill="FFFFFF"/>
            <w:hideMark/>
          </w:tcPr>
          <w:p w14:paraId="38D9AC4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11.00</w:t>
            </w:r>
          </w:p>
        </w:tc>
        <w:tc>
          <w:tcPr>
            <w:tcW w:w="700" w:type="dxa"/>
            <w:tcBorders>
              <w:top w:val="nil"/>
              <w:left w:val="nil"/>
              <w:bottom w:val="single" w:sz="4" w:space="0" w:color="auto"/>
              <w:right w:val="single" w:sz="4" w:space="0" w:color="auto"/>
            </w:tcBorders>
            <w:shd w:val="clear" w:color="000000" w:fill="FFFFFF"/>
            <w:hideMark/>
          </w:tcPr>
          <w:p w14:paraId="11B2537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-0.74</w:t>
            </w:r>
          </w:p>
        </w:tc>
        <w:tc>
          <w:tcPr>
            <w:tcW w:w="680" w:type="dxa"/>
            <w:tcBorders>
              <w:top w:val="nil"/>
              <w:left w:val="nil"/>
              <w:bottom w:val="single" w:sz="4" w:space="0" w:color="auto"/>
              <w:right w:val="single" w:sz="8" w:space="0" w:color="auto"/>
            </w:tcBorders>
            <w:shd w:val="clear" w:color="000000" w:fill="FFFFFF"/>
            <w:hideMark/>
          </w:tcPr>
          <w:p w14:paraId="0137EC5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0.74</w:t>
            </w:r>
          </w:p>
        </w:tc>
      </w:tr>
      <w:tr w:rsidR="002B7046" w:rsidRPr="002B7046" w14:paraId="025874F2"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4709CA08"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1580" w:type="dxa"/>
            <w:tcBorders>
              <w:top w:val="nil"/>
              <w:left w:val="nil"/>
              <w:bottom w:val="single" w:sz="4" w:space="0" w:color="auto"/>
              <w:right w:val="single" w:sz="4" w:space="0" w:color="auto"/>
            </w:tcBorders>
            <w:shd w:val="clear" w:color="000000" w:fill="FFFFFF"/>
            <w:hideMark/>
          </w:tcPr>
          <w:p w14:paraId="5D985CF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0.4277</w:t>
            </w:r>
          </w:p>
        </w:tc>
        <w:tc>
          <w:tcPr>
            <w:tcW w:w="1680" w:type="dxa"/>
            <w:tcBorders>
              <w:top w:val="nil"/>
              <w:left w:val="nil"/>
              <w:bottom w:val="single" w:sz="4" w:space="0" w:color="auto"/>
              <w:right w:val="single" w:sz="4" w:space="0" w:color="auto"/>
            </w:tcBorders>
            <w:shd w:val="clear" w:color="000000" w:fill="FFFFFF"/>
            <w:hideMark/>
          </w:tcPr>
          <w:p w14:paraId="393425B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0.4374</w:t>
            </w:r>
          </w:p>
        </w:tc>
        <w:tc>
          <w:tcPr>
            <w:tcW w:w="1180" w:type="dxa"/>
            <w:vMerge/>
            <w:tcBorders>
              <w:top w:val="nil"/>
              <w:left w:val="single" w:sz="4" w:space="0" w:color="auto"/>
              <w:bottom w:val="single" w:sz="8" w:space="0" w:color="000000"/>
              <w:right w:val="single" w:sz="4" w:space="0" w:color="auto"/>
            </w:tcBorders>
            <w:vAlign w:val="center"/>
            <w:hideMark/>
          </w:tcPr>
          <w:p w14:paraId="20977BC1"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6E735D46"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2</w:t>
            </w:r>
          </w:p>
        </w:tc>
        <w:tc>
          <w:tcPr>
            <w:tcW w:w="780" w:type="dxa"/>
            <w:tcBorders>
              <w:top w:val="nil"/>
              <w:left w:val="nil"/>
              <w:bottom w:val="single" w:sz="4" w:space="0" w:color="auto"/>
              <w:right w:val="single" w:sz="4" w:space="0" w:color="auto"/>
            </w:tcBorders>
            <w:shd w:val="clear" w:color="000000" w:fill="FFFFFF"/>
            <w:hideMark/>
          </w:tcPr>
          <w:p w14:paraId="5ACE2F2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65.00</w:t>
            </w:r>
          </w:p>
        </w:tc>
        <w:tc>
          <w:tcPr>
            <w:tcW w:w="880" w:type="dxa"/>
            <w:tcBorders>
              <w:top w:val="nil"/>
              <w:left w:val="nil"/>
              <w:bottom w:val="single" w:sz="4" w:space="0" w:color="auto"/>
              <w:right w:val="single" w:sz="4" w:space="0" w:color="auto"/>
            </w:tcBorders>
            <w:shd w:val="clear" w:color="000000" w:fill="FFFFFF"/>
            <w:hideMark/>
          </w:tcPr>
          <w:p w14:paraId="32F4CF27"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-6.00</w:t>
            </w:r>
          </w:p>
        </w:tc>
        <w:tc>
          <w:tcPr>
            <w:tcW w:w="700" w:type="dxa"/>
            <w:tcBorders>
              <w:top w:val="nil"/>
              <w:left w:val="nil"/>
              <w:bottom w:val="single" w:sz="4" w:space="0" w:color="auto"/>
              <w:right w:val="single" w:sz="4" w:space="0" w:color="auto"/>
            </w:tcBorders>
            <w:shd w:val="clear" w:color="000000" w:fill="FFFFFF"/>
            <w:hideMark/>
          </w:tcPr>
          <w:p w14:paraId="74BBE408"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0.85</w:t>
            </w:r>
          </w:p>
        </w:tc>
        <w:tc>
          <w:tcPr>
            <w:tcW w:w="680" w:type="dxa"/>
            <w:tcBorders>
              <w:top w:val="nil"/>
              <w:left w:val="nil"/>
              <w:bottom w:val="single" w:sz="4" w:space="0" w:color="auto"/>
              <w:right w:val="single" w:sz="8" w:space="0" w:color="auto"/>
            </w:tcBorders>
            <w:shd w:val="clear" w:color="000000" w:fill="FFFFFF"/>
            <w:hideMark/>
          </w:tcPr>
          <w:p w14:paraId="6727F11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-0.85</w:t>
            </w:r>
          </w:p>
        </w:tc>
      </w:tr>
      <w:tr w:rsidR="002B7046" w:rsidRPr="002B7046" w14:paraId="41D706A8" w14:textId="77777777" w:rsidTr="002B7046">
        <w:trPr>
          <w:trHeight w:val="288"/>
        </w:trPr>
        <w:tc>
          <w:tcPr>
            <w:tcW w:w="1160" w:type="dxa"/>
            <w:tcBorders>
              <w:top w:val="nil"/>
              <w:left w:val="single" w:sz="8" w:space="0" w:color="auto"/>
              <w:bottom w:val="single" w:sz="4" w:space="0" w:color="auto"/>
              <w:right w:val="single" w:sz="4" w:space="0" w:color="auto"/>
            </w:tcBorders>
            <w:shd w:val="clear" w:color="000000" w:fill="0066CC"/>
            <w:hideMark/>
          </w:tcPr>
          <w:p w14:paraId="168B11E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Difference</w:t>
            </w:r>
          </w:p>
        </w:tc>
        <w:tc>
          <w:tcPr>
            <w:tcW w:w="1580" w:type="dxa"/>
            <w:tcBorders>
              <w:top w:val="nil"/>
              <w:left w:val="nil"/>
              <w:bottom w:val="single" w:sz="4" w:space="0" w:color="auto"/>
              <w:right w:val="single" w:sz="4" w:space="0" w:color="auto"/>
            </w:tcBorders>
            <w:shd w:val="clear" w:color="000000" w:fill="FFFFFF"/>
            <w:hideMark/>
          </w:tcPr>
          <w:p w14:paraId="70398D6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-0.4121</w:t>
            </w:r>
          </w:p>
        </w:tc>
        <w:tc>
          <w:tcPr>
            <w:tcW w:w="1680" w:type="dxa"/>
            <w:tcBorders>
              <w:top w:val="nil"/>
              <w:left w:val="nil"/>
              <w:bottom w:val="single" w:sz="4" w:space="0" w:color="auto"/>
              <w:right w:val="single" w:sz="4" w:space="0" w:color="auto"/>
            </w:tcBorders>
            <w:shd w:val="clear" w:color="000000" w:fill="FFFFFF"/>
            <w:hideMark/>
          </w:tcPr>
          <w:p w14:paraId="6AF37147"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-0.5268</w:t>
            </w:r>
          </w:p>
        </w:tc>
        <w:tc>
          <w:tcPr>
            <w:tcW w:w="1180" w:type="dxa"/>
            <w:vMerge/>
            <w:tcBorders>
              <w:top w:val="nil"/>
              <w:left w:val="single" w:sz="4" w:space="0" w:color="auto"/>
              <w:bottom w:val="single" w:sz="8" w:space="0" w:color="000000"/>
              <w:right w:val="single" w:sz="4" w:space="0" w:color="auto"/>
            </w:tcBorders>
            <w:vAlign w:val="center"/>
            <w:hideMark/>
          </w:tcPr>
          <w:p w14:paraId="184D932D"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4" w:space="0" w:color="auto"/>
              <w:right w:val="single" w:sz="4" w:space="0" w:color="auto"/>
            </w:tcBorders>
            <w:shd w:val="clear" w:color="000000" w:fill="0066CC"/>
            <w:hideMark/>
          </w:tcPr>
          <w:p w14:paraId="7313EBDA"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3</w:t>
            </w:r>
          </w:p>
        </w:tc>
        <w:tc>
          <w:tcPr>
            <w:tcW w:w="780" w:type="dxa"/>
            <w:tcBorders>
              <w:top w:val="nil"/>
              <w:left w:val="nil"/>
              <w:bottom w:val="single" w:sz="4" w:space="0" w:color="auto"/>
              <w:right w:val="single" w:sz="4" w:space="0" w:color="auto"/>
            </w:tcBorders>
            <w:shd w:val="clear" w:color="000000" w:fill="FFFFFF"/>
            <w:hideMark/>
          </w:tcPr>
          <w:p w14:paraId="5E4C077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880" w:type="dxa"/>
            <w:tcBorders>
              <w:top w:val="nil"/>
              <w:left w:val="nil"/>
              <w:bottom w:val="single" w:sz="4" w:space="0" w:color="auto"/>
              <w:right w:val="single" w:sz="4" w:space="0" w:color="auto"/>
            </w:tcBorders>
            <w:shd w:val="clear" w:color="000000" w:fill="FFFFFF"/>
            <w:hideMark/>
          </w:tcPr>
          <w:p w14:paraId="25C7A1C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27.00</w:t>
            </w:r>
          </w:p>
        </w:tc>
        <w:tc>
          <w:tcPr>
            <w:tcW w:w="700" w:type="dxa"/>
            <w:tcBorders>
              <w:top w:val="nil"/>
              <w:left w:val="nil"/>
              <w:bottom w:val="single" w:sz="4" w:space="0" w:color="auto"/>
              <w:right w:val="single" w:sz="4" w:space="0" w:color="auto"/>
            </w:tcBorders>
            <w:shd w:val="clear" w:color="000000" w:fill="FFFFFF"/>
            <w:hideMark/>
          </w:tcPr>
          <w:p w14:paraId="7695E33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-1.47</w:t>
            </w:r>
          </w:p>
        </w:tc>
        <w:tc>
          <w:tcPr>
            <w:tcW w:w="680" w:type="dxa"/>
            <w:tcBorders>
              <w:top w:val="nil"/>
              <w:left w:val="nil"/>
              <w:bottom w:val="single" w:sz="4" w:space="0" w:color="auto"/>
              <w:right w:val="single" w:sz="8" w:space="0" w:color="auto"/>
            </w:tcBorders>
            <w:shd w:val="clear" w:color="000000" w:fill="FFFFFF"/>
            <w:hideMark/>
          </w:tcPr>
          <w:p w14:paraId="6F3AE7A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1.47</w:t>
            </w:r>
          </w:p>
        </w:tc>
      </w:tr>
      <w:tr w:rsidR="002B7046" w:rsidRPr="002B7046" w14:paraId="422C4D77" w14:textId="77777777" w:rsidTr="002B7046">
        <w:trPr>
          <w:trHeight w:val="300"/>
        </w:trPr>
        <w:tc>
          <w:tcPr>
            <w:tcW w:w="1160" w:type="dxa"/>
            <w:tcBorders>
              <w:top w:val="nil"/>
              <w:left w:val="single" w:sz="8" w:space="0" w:color="auto"/>
              <w:bottom w:val="single" w:sz="8" w:space="0" w:color="auto"/>
              <w:right w:val="single" w:sz="4" w:space="0" w:color="auto"/>
            </w:tcBorders>
            <w:shd w:val="clear" w:color="000000" w:fill="0066CC"/>
            <w:hideMark/>
          </w:tcPr>
          <w:p w14:paraId="71272C07"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Pay Gap %</w:t>
            </w:r>
          </w:p>
        </w:tc>
        <w:tc>
          <w:tcPr>
            <w:tcW w:w="1580" w:type="dxa"/>
            <w:tcBorders>
              <w:top w:val="nil"/>
              <w:left w:val="nil"/>
              <w:bottom w:val="single" w:sz="8" w:space="0" w:color="auto"/>
              <w:right w:val="single" w:sz="4" w:space="0" w:color="auto"/>
            </w:tcBorders>
            <w:shd w:val="clear" w:color="000000" w:fill="FFFFFF"/>
            <w:hideMark/>
          </w:tcPr>
          <w:p w14:paraId="06D0EFF3"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-1.7830</w:t>
            </w:r>
          </w:p>
        </w:tc>
        <w:tc>
          <w:tcPr>
            <w:tcW w:w="1680" w:type="dxa"/>
            <w:tcBorders>
              <w:top w:val="nil"/>
              <w:left w:val="nil"/>
              <w:bottom w:val="single" w:sz="8" w:space="0" w:color="auto"/>
              <w:right w:val="single" w:sz="4" w:space="0" w:color="auto"/>
            </w:tcBorders>
            <w:shd w:val="clear" w:color="000000" w:fill="FFFFFF"/>
            <w:hideMark/>
          </w:tcPr>
          <w:p w14:paraId="1891E3D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-2.7634</w:t>
            </w:r>
          </w:p>
        </w:tc>
        <w:tc>
          <w:tcPr>
            <w:tcW w:w="1180" w:type="dxa"/>
            <w:vMerge/>
            <w:tcBorders>
              <w:top w:val="nil"/>
              <w:left w:val="single" w:sz="4" w:space="0" w:color="auto"/>
              <w:bottom w:val="single" w:sz="8" w:space="0" w:color="000000"/>
              <w:right w:val="single" w:sz="4" w:space="0" w:color="auto"/>
            </w:tcBorders>
            <w:vAlign w:val="center"/>
            <w:hideMark/>
          </w:tcPr>
          <w:p w14:paraId="2FDF8408" w14:textId="77777777" w:rsidR="002B7046" w:rsidRPr="0003674A" w:rsidRDefault="002B7046" w:rsidP="002B7046">
            <w:pPr>
              <w:spacing w:after="0" w:line="240" w:lineRule="auto"/>
              <w:rPr>
                <w:rFonts w:ascii="Calibri" w:eastAsia="Times New Roman" w:hAnsi="Calibri" w:cs="Calibri"/>
                <w:color w:val="000000" w:themeColor="text1"/>
                <w:lang w:eastAsia="en-GB"/>
              </w:rPr>
            </w:pPr>
          </w:p>
        </w:tc>
        <w:tc>
          <w:tcPr>
            <w:tcW w:w="1060" w:type="dxa"/>
            <w:tcBorders>
              <w:top w:val="nil"/>
              <w:left w:val="nil"/>
              <w:bottom w:val="single" w:sz="8" w:space="0" w:color="auto"/>
              <w:right w:val="single" w:sz="4" w:space="0" w:color="auto"/>
            </w:tcBorders>
            <w:shd w:val="clear" w:color="000000" w:fill="0066CC"/>
            <w:hideMark/>
          </w:tcPr>
          <w:p w14:paraId="2CD8EC37" w14:textId="77777777" w:rsidR="002B7046" w:rsidRPr="0003674A" w:rsidRDefault="002B7046" w:rsidP="002B7046">
            <w:pPr>
              <w:spacing w:after="0" w:line="240" w:lineRule="auto"/>
              <w:jc w:val="right"/>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4</w:t>
            </w:r>
          </w:p>
        </w:tc>
        <w:tc>
          <w:tcPr>
            <w:tcW w:w="780" w:type="dxa"/>
            <w:tcBorders>
              <w:top w:val="nil"/>
              <w:left w:val="nil"/>
              <w:bottom w:val="single" w:sz="8" w:space="0" w:color="auto"/>
              <w:right w:val="single" w:sz="4" w:space="0" w:color="auto"/>
            </w:tcBorders>
            <w:shd w:val="clear" w:color="000000" w:fill="FFFFFF"/>
            <w:hideMark/>
          </w:tcPr>
          <w:p w14:paraId="18EAD47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31.00</w:t>
            </w:r>
          </w:p>
        </w:tc>
        <w:tc>
          <w:tcPr>
            <w:tcW w:w="880" w:type="dxa"/>
            <w:tcBorders>
              <w:top w:val="nil"/>
              <w:left w:val="nil"/>
              <w:bottom w:val="single" w:sz="8" w:space="0" w:color="auto"/>
              <w:right w:val="single" w:sz="4" w:space="0" w:color="auto"/>
            </w:tcBorders>
            <w:shd w:val="clear" w:color="000000" w:fill="FFFFFF"/>
            <w:hideMark/>
          </w:tcPr>
          <w:p w14:paraId="03E6CFC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-6.00</w:t>
            </w:r>
          </w:p>
        </w:tc>
        <w:tc>
          <w:tcPr>
            <w:tcW w:w="700" w:type="dxa"/>
            <w:tcBorders>
              <w:top w:val="nil"/>
              <w:left w:val="nil"/>
              <w:bottom w:val="single" w:sz="8" w:space="0" w:color="auto"/>
              <w:right w:val="single" w:sz="4" w:space="0" w:color="auto"/>
            </w:tcBorders>
            <w:shd w:val="clear" w:color="000000" w:fill="FFFFFF"/>
            <w:hideMark/>
          </w:tcPr>
          <w:p w14:paraId="48BE9FC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0.89</w:t>
            </w:r>
          </w:p>
        </w:tc>
        <w:tc>
          <w:tcPr>
            <w:tcW w:w="680" w:type="dxa"/>
            <w:tcBorders>
              <w:top w:val="nil"/>
              <w:left w:val="nil"/>
              <w:bottom w:val="single" w:sz="8" w:space="0" w:color="auto"/>
              <w:right w:val="single" w:sz="8" w:space="0" w:color="auto"/>
            </w:tcBorders>
            <w:shd w:val="clear" w:color="000000" w:fill="FFFFFF"/>
            <w:hideMark/>
          </w:tcPr>
          <w:p w14:paraId="54044087"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-0.89</w:t>
            </w:r>
          </w:p>
        </w:tc>
      </w:tr>
    </w:tbl>
    <w:p w14:paraId="04E7FAA1" w14:textId="77777777" w:rsidR="002B7046" w:rsidRDefault="002B7046" w:rsidP="007C3DAB">
      <w:pPr>
        <w:pStyle w:val="Default"/>
        <w:spacing w:after="60"/>
        <w:jc w:val="both"/>
        <w:rPr>
          <w:sz w:val="22"/>
          <w:szCs w:val="22"/>
        </w:rPr>
      </w:pPr>
    </w:p>
    <w:p w14:paraId="52869541" w14:textId="77777777" w:rsidR="002B7046" w:rsidRDefault="002B7046" w:rsidP="007C3DAB">
      <w:pPr>
        <w:pStyle w:val="Default"/>
        <w:spacing w:after="60"/>
        <w:jc w:val="both"/>
        <w:rPr>
          <w:sz w:val="22"/>
          <w:szCs w:val="22"/>
        </w:rPr>
      </w:pPr>
    </w:p>
    <w:p w14:paraId="0A190631" w14:textId="03E89544" w:rsidR="001465C2" w:rsidRPr="0003674A" w:rsidRDefault="001465C2" w:rsidP="007C3DAB">
      <w:pPr>
        <w:pStyle w:val="Default"/>
        <w:spacing w:after="60"/>
        <w:jc w:val="both"/>
        <w:rPr>
          <w:b/>
          <w:bCs/>
          <w:color w:val="000000" w:themeColor="text1"/>
          <w:sz w:val="22"/>
          <w:szCs w:val="22"/>
        </w:rPr>
      </w:pPr>
      <w:r w:rsidRPr="0003674A">
        <w:rPr>
          <w:color w:val="000000" w:themeColor="text1"/>
          <w:sz w:val="22"/>
          <w:szCs w:val="22"/>
        </w:rPr>
        <w:t xml:space="preserve">From the above table it </w:t>
      </w:r>
      <w:r w:rsidR="006B2347" w:rsidRPr="0003674A">
        <w:rPr>
          <w:color w:val="000000" w:themeColor="text1"/>
          <w:sz w:val="22"/>
          <w:szCs w:val="22"/>
        </w:rPr>
        <w:t xml:space="preserve">is evident that </w:t>
      </w:r>
      <w:r w:rsidRPr="0003674A">
        <w:rPr>
          <w:color w:val="000000" w:themeColor="text1"/>
          <w:sz w:val="22"/>
          <w:szCs w:val="22"/>
        </w:rPr>
        <w:t xml:space="preserve">there has been a slight closing of </w:t>
      </w:r>
      <w:r w:rsidR="004F2479" w:rsidRPr="0003674A">
        <w:rPr>
          <w:color w:val="000000" w:themeColor="text1"/>
          <w:sz w:val="22"/>
          <w:szCs w:val="22"/>
        </w:rPr>
        <w:t>the gender pay gap comparing 2020</w:t>
      </w:r>
      <w:r w:rsidRPr="0003674A">
        <w:rPr>
          <w:color w:val="000000" w:themeColor="text1"/>
          <w:sz w:val="22"/>
          <w:szCs w:val="22"/>
        </w:rPr>
        <w:t xml:space="preserve"> to 20</w:t>
      </w:r>
      <w:r w:rsidR="004F2479" w:rsidRPr="0003674A">
        <w:rPr>
          <w:color w:val="000000" w:themeColor="text1"/>
          <w:sz w:val="22"/>
          <w:szCs w:val="22"/>
        </w:rPr>
        <w:t>21</w:t>
      </w:r>
      <w:r w:rsidR="00443182" w:rsidRPr="0003674A">
        <w:rPr>
          <w:color w:val="000000" w:themeColor="text1"/>
          <w:sz w:val="22"/>
          <w:szCs w:val="22"/>
        </w:rPr>
        <w:t xml:space="preserve"> </w:t>
      </w:r>
      <w:r w:rsidR="006B2347" w:rsidRPr="0003674A">
        <w:rPr>
          <w:color w:val="000000" w:themeColor="text1"/>
          <w:sz w:val="22"/>
          <w:szCs w:val="22"/>
        </w:rPr>
        <w:t xml:space="preserve">average hourly rate </w:t>
      </w:r>
      <w:r w:rsidR="00443182" w:rsidRPr="0003674A">
        <w:rPr>
          <w:color w:val="000000" w:themeColor="text1"/>
          <w:sz w:val="22"/>
          <w:szCs w:val="22"/>
        </w:rPr>
        <w:t xml:space="preserve">and the median hourly rate has </w:t>
      </w:r>
      <w:r w:rsidR="00F059F0" w:rsidRPr="0003674A">
        <w:rPr>
          <w:color w:val="000000" w:themeColor="text1"/>
          <w:sz w:val="22"/>
          <w:szCs w:val="22"/>
        </w:rPr>
        <w:t>also de</w:t>
      </w:r>
      <w:r w:rsidR="00443182" w:rsidRPr="0003674A">
        <w:rPr>
          <w:color w:val="000000" w:themeColor="text1"/>
          <w:sz w:val="22"/>
          <w:szCs w:val="22"/>
        </w:rPr>
        <w:t>creased</w:t>
      </w:r>
      <w:r w:rsidR="00F059F0" w:rsidRPr="0003674A">
        <w:rPr>
          <w:b/>
          <w:bCs/>
          <w:color w:val="000000" w:themeColor="text1"/>
          <w:sz w:val="22"/>
          <w:szCs w:val="22"/>
        </w:rPr>
        <w:t xml:space="preserve"> </w:t>
      </w:r>
      <w:r w:rsidR="00F059F0" w:rsidRPr="0003674A">
        <w:rPr>
          <w:bCs/>
          <w:color w:val="000000" w:themeColor="text1"/>
          <w:sz w:val="22"/>
          <w:szCs w:val="22"/>
        </w:rPr>
        <w:t>slightly</w:t>
      </w:r>
      <w:r w:rsidR="0003674A" w:rsidRPr="0003674A">
        <w:rPr>
          <w:bCs/>
          <w:color w:val="000000" w:themeColor="text1"/>
          <w:sz w:val="22"/>
          <w:szCs w:val="22"/>
        </w:rPr>
        <w:t>.</w:t>
      </w:r>
    </w:p>
    <w:p w14:paraId="4EF2297C" w14:textId="77777777" w:rsidR="001465C2" w:rsidRDefault="001465C2" w:rsidP="007C3DAB">
      <w:pPr>
        <w:pStyle w:val="Default"/>
        <w:spacing w:after="60"/>
        <w:jc w:val="both"/>
        <w:rPr>
          <w:b/>
          <w:bCs/>
          <w:sz w:val="22"/>
          <w:szCs w:val="22"/>
        </w:rPr>
      </w:pPr>
    </w:p>
    <w:p w14:paraId="2A5614FF" w14:textId="06DFFA3A" w:rsidR="00A84D79" w:rsidRDefault="00A84D79" w:rsidP="007C3DAB">
      <w:pPr>
        <w:pStyle w:val="Default"/>
        <w:spacing w:after="60"/>
        <w:jc w:val="both"/>
        <w:rPr>
          <w:b/>
          <w:bCs/>
          <w:sz w:val="22"/>
          <w:szCs w:val="22"/>
        </w:rPr>
      </w:pPr>
      <w:r>
        <w:rPr>
          <w:b/>
          <w:bCs/>
          <w:sz w:val="22"/>
          <w:szCs w:val="22"/>
        </w:rPr>
        <w:t xml:space="preserve">Proportion of males and females receiving a bonus payment comparison </w:t>
      </w:r>
    </w:p>
    <w:p w14:paraId="598F39D7" w14:textId="251CFC17" w:rsidR="00934FCA" w:rsidRPr="00934FCA" w:rsidRDefault="00934FCA" w:rsidP="007C3DAB">
      <w:pPr>
        <w:pStyle w:val="Default"/>
        <w:spacing w:after="60"/>
        <w:jc w:val="both"/>
        <w:rPr>
          <w:sz w:val="22"/>
          <w:szCs w:val="22"/>
        </w:rPr>
      </w:pPr>
      <w:r w:rsidRPr="00934FCA">
        <w:rPr>
          <w:sz w:val="22"/>
          <w:szCs w:val="22"/>
        </w:rPr>
        <w:t>The tables below allow the reader to reflect across the period 2018 – 2020 in t</w:t>
      </w:r>
      <w:r>
        <w:rPr>
          <w:sz w:val="22"/>
          <w:szCs w:val="22"/>
        </w:rPr>
        <w:t xml:space="preserve">erms </w:t>
      </w:r>
      <w:r w:rsidRPr="00934FCA">
        <w:rPr>
          <w:sz w:val="22"/>
          <w:szCs w:val="22"/>
        </w:rPr>
        <w:t xml:space="preserve">of bonus payment comparisons.  </w:t>
      </w:r>
    </w:p>
    <w:p w14:paraId="14C7A6C4" w14:textId="77777777" w:rsidR="006B2347" w:rsidRDefault="006B2347" w:rsidP="004B595F">
      <w:pPr>
        <w:pStyle w:val="Default"/>
        <w:jc w:val="both"/>
        <w:rPr>
          <w:b/>
          <w:bCs/>
          <w:color w:val="000000" w:themeColor="text1"/>
          <w:sz w:val="22"/>
          <w:szCs w:val="22"/>
        </w:rPr>
      </w:pPr>
    </w:p>
    <w:tbl>
      <w:tblPr>
        <w:tblW w:w="8680" w:type="dxa"/>
        <w:tblLook w:val="04A0" w:firstRow="1" w:lastRow="0" w:firstColumn="1" w:lastColumn="0" w:noHBand="0" w:noVBand="1"/>
      </w:tblPr>
      <w:tblGrid>
        <w:gridCol w:w="1199"/>
        <w:gridCol w:w="1389"/>
        <w:gridCol w:w="1237"/>
        <w:gridCol w:w="266"/>
        <w:gridCol w:w="266"/>
        <w:gridCol w:w="866"/>
        <w:gridCol w:w="1468"/>
        <w:gridCol w:w="1440"/>
        <w:gridCol w:w="549"/>
      </w:tblGrid>
      <w:tr w:rsidR="0003674A" w:rsidRPr="0003674A" w14:paraId="0F5E9A27" w14:textId="77777777" w:rsidTr="002B7046">
        <w:trPr>
          <w:trHeight w:val="288"/>
        </w:trPr>
        <w:tc>
          <w:tcPr>
            <w:tcW w:w="8680" w:type="dxa"/>
            <w:gridSpan w:val="9"/>
            <w:tcBorders>
              <w:top w:val="single" w:sz="8" w:space="0" w:color="auto"/>
              <w:left w:val="single" w:sz="8" w:space="0" w:color="auto"/>
              <w:bottom w:val="nil"/>
              <w:right w:val="single" w:sz="8" w:space="0" w:color="000000"/>
            </w:tcBorders>
            <w:shd w:val="clear" w:color="auto" w:fill="auto"/>
            <w:noWrap/>
            <w:vAlign w:val="bottom"/>
            <w:hideMark/>
          </w:tcPr>
          <w:p w14:paraId="1F8D6B6B"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 xml:space="preserve">Mar 20 Bonus </w:t>
            </w:r>
          </w:p>
        </w:tc>
      </w:tr>
      <w:tr w:rsidR="0003674A" w:rsidRPr="0003674A" w14:paraId="6088ED3E" w14:textId="77777777" w:rsidTr="00507134">
        <w:trPr>
          <w:trHeight w:val="408"/>
        </w:trPr>
        <w:tc>
          <w:tcPr>
            <w:tcW w:w="1199" w:type="dxa"/>
            <w:tcBorders>
              <w:top w:val="single" w:sz="4" w:space="0" w:color="auto"/>
              <w:left w:val="single" w:sz="8" w:space="0" w:color="auto"/>
              <w:bottom w:val="single" w:sz="4" w:space="0" w:color="auto"/>
              <w:right w:val="single" w:sz="4" w:space="0" w:color="auto"/>
            </w:tcBorders>
            <w:shd w:val="clear" w:color="000000" w:fill="0066CC"/>
            <w:hideMark/>
          </w:tcPr>
          <w:p w14:paraId="3B4C7913"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389" w:type="dxa"/>
            <w:tcBorders>
              <w:top w:val="single" w:sz="4" w:space="0" w:color="auto"/>
              <w:left w:val="nil"/>
              <w:bottom w:val="single" w:sz="4" w:space="0" w:color="auto"/>
              <w:right w:val="single" w:sz="4" w:space="0" w:color="auto"/>
            </w:tcBorders>
            <w:shd w:val="clear" w:color="000000" w:fill="0066CC"/>
            <w:hideMark/>
          </w:tcPr>
          <w:p w14:paraId="7FCD9C8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Avg. Pay</w:t>
            </w:r>
          </w:p>
        </w:tc>
        <w:tc>
          <w:tcPr>
            <w:tcW w:w="1237" w:type="dxa"/>
            <w:tcBorders>
              <w:top w:val="single" w:sz="4" w:space="0" w:color="auto"/>
              <w:left w:val="nil"/>
              <w:bottom w:val="single" w:sz="4" w:space="0" w:color="auto"/>
              <w:right w:val="single" w:sz="4" w:space="0" w:color="auto"/>
            </w:tcBorders>
            <w:shd w:val="clear" w:color="000000" w:fill="0066CC"/>
            <w:hideMark/>
          </w:tcPr>
          <w:p w14:paraId="0DF9C919"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Median Pay</w:t>
            </w:r>
          </w:p>
        </w:tc>
        <w:tc>
          <w:tcPr>
            <w:tcW w:w="266" w:type="dxa"/>
            <w:tcBorders>
              <w:top w:val="nil"/>
              <w:left w:val="nil"/>
              <w:bottom w:val="nil"/>
              <w:right w:val="nil"/>
            </w:tcBorders>
            <w:shd w:val="clear" w:color="auto" w:fill="auto"/>
            <w:noWrap/>
            <w:vAlign w:val="bottom"/>
            <w:hideMark/>
          </w:tcPr>
          <w:p w14:paraId="42A47B74"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3B20F3E6"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single" w:sz="4" w:space="0" w:color="auto"/>
              <w:left w:val="single" w:sz="4" w:space="0" w:color="auto"/>
              <w:bottom w:val="single" w:sz="4" w:space="0" w:color="auto"/>
              <w:right w:val="single" w:sz="4" w:space="0" w:color="auto"/>
            </w:tcBorders>
            <w:shd w:val="clear" w:color="000000" w:fill="0066CC"/>
            <w:hideMark/>
          </w:tcPr>
          <w:p w14:paraId="7A398176"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468" w:type="dxa"/>
            <w:tcBorders>
              <w:top w:val="single" w:sz="4" w:space="0" w:color="auto"/>
              <w:left w:val="nil"/>
              <w:bottom w:val="single" w:sz="4" w:space="0" w:color="auto"/>
              <w:right w:val="single" w:sz="4" w:space="0" w:color="auto"/>
            </w:tcBorders>
            <w:shd w:val="clear" w:color="000000" w:fill="0066CC"/>
            <w:hideMark/>
          </w:tcPr>
          <w:p w14:paraId="0B2893F1"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Employees Paid Bonus</w:t>
            </w:r>
          </w:p>
        </w:tc>
        <w:tc>
          <w:tcPr>
            <w:tcW w:w="1440" w:type="dxa"/>
            <w:tcBorders>
              <w:top w:val="single" w:sz="4" w:space="0" w:color="auto"/>
              <w:left w:val="nil"/>
              <w:bottom w:val="single" w:sz="4" w:space="0" w:color="auto"/>
              <w:right w:val="single" w:sz="4" w:space="0" w:color="auto"/>
            </w:tcBorders>
            <w:shd w:val="clear" w:color="000000" w:fill="0066CC"/>
            <w:hideMark/>
          </w:tcPr>
          <w:p w14:paraId="2EC032A2"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Total Relevant Employees</w:t>
            </w:r>
          </w:p>
        </w:tc>
        <w:tc>
          <w:tcPr>
            <w:tcW w:w="549" w:type="dxa"/>
            <w:tcBorders>
              <w:top w:val="single" w:sz="4" w:space="0" w:color="auto"/>
              <w:left w:val="nil"/>
              <w:bottom w:val="single" w:sz="4" w:space="0" w:color="auto"/>
              <w:right w:val="single" w:sz="8" w:space="0" w:color="auto"/>
            </w:tcBorders>
            <w:shd w:val="clear" w:color="000000" w:fill="0066CC"/>
            <w:hideMark/>
          </w:tcPr>
          <w:p w14:paraId="1E633F87"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w:t>
            </w:r>
          </w:p>
        </w:tc>
      </w:tr>
      <w:tr w:rsidR="0003674A" w:rsidRPr="0003674A" w14:paraId="70294912"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00023D24"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Male</w:t>
            </w:r>
          </w:p>
        </w:tc>
        <w:tc>
          <w:tcPr>
            <w:tcW w:w="1389" w:type="dxa"/>
            <w:tcBorders>
              <w:top w:val="nil"/>
              <w:left w:val="nil"/>
              <w:bottom w:val="single" w:sz="4" w:space="0" w:color="auto"/>
              <w:right w:val="single" w:sz="4" w:space="0" w:color="auto"/>
            </w:tcBorders>
            <w:shd w:val="clear" w:color="000000" w:fill="FFFFFF"/>
            <w:hideMark/>
          </w:tcPr>
          <w:p w14:paraId="70F04AD8"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11,009.61</w:t>
            </w:r>
          </w:p>
        </w:tc>
        <w:tc>
          <w:tcPr>
            <w:tcW w:w="1237" w:type="dxa"/>
            <w:tcBorders>
              <w:top w:val="nil"/>
              <w:left w:val="nil"/>
              <w:bottom w:val="single" w:sz="4" w:space="0" w:color="auto"/>
              <w:right w:val="single" w:sz="4" w:space="0" w:color="auto"/>
            </w:tcBorders>
            <w:shd w:val="clear" w:color="000000" w:fill="FFFFFF"/>
            <w:hideMark/>
          </w:tcPr>
          <w:p w14:paraId="4D74263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7,540.02</w:t>
            </w:r>
          </w:p>
        </w:tc>
        <w:tc>
          <w:tcPr>
            <w:tcW w:w="266" w:type="dxa"/>
            <w:tcBorders>
              <w:top w:val="nil"/>
              <w:left w:val="nil"/>
              <w:bottom w:val="nil"/>
              <w:right w:val="nil"/>
            </w:tcBorders>
            <w:shd w:val="clear" w:color="auto" w:fill="auto"/>
            <w:noWrap/>
            <w:vAlign w:val="bottom"/>
            <w:hideMark/>
          </w:tcPr>
          <w:p w14:paraId="7BEB33B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092CF477"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1CAB3733"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1468" w:type="dxa"/>
            <w:tcBorders>
              <w:top w:val="nil"/>
              <w:left w:val="nil"/>
              <w:bottom w:val="single" w:sz="4" w:space="0" w:color="auto"/>
              <w:right w:val="single" w:sz="4" w:space="0" w:color="auto"/>
            </w:tcBorders>
            <w:shd w:val="clear" w:color="000000" w:fill="FFFFFF"/>
            <w:hideMark/>
          </w:tcPr>
          <w:p w14:paraId="6F715B51"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18.00</w:t>
            </w:r>
          </w:p>
        </w:tc>
        <w:tc>
          <w:tcPr>
            <w:tcW w:w="1440" w:type="dxa"/>
            <w:tcBorders>
              <w:top w:val="nil"/>
              <w:left w:val="nil"/>
              <w:bottom w:val="single" w:sz="4" w:space="0" w:color="auto"/>
              <w:right w:val="single" w:sz="4" w:space="0" w:color="auto"/>
            </w:tcBorders>
            <w:shd w:val="clear" w:color="000000" w:fill="FFFFFF"/>
            <w:hideMark/>
          </w:tcPr>
          <w:p w14:paraId="6AC930A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5668.00</w:t>
            </w:r>
          </w:p>
        </w:tc>
        <w:tc>
          <w:tcPr>
            <w:tcW w:w="549" w:type="dxa"/>
            <w:tcBorders>
              <w:top w:val="nil"/>
              <w:left w:val="nil"/>
              <w:bottom w:val="single" w:sz="4" w:space="0" w:color="auto"/>
              <w:right w:val="single" w:sz="8" w:space="0" w:color="auto"/>
            </w:tcBorders>
            <w:shd w:val="clear" w:color="000000" w:fill="FFFFFF"/>
            <w:hideMark/>
          </w:tcPr>
          <w:p w14:paraId="435D5F9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0.32</w:t>
            </w:r>
          </w:p>
        </w:tc>
      </w:tr>
      <w:tr w:rsidR="0003674A" w:rsidRPr="0003674A" w14:paraId="14381D21"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7AE5253B"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Female</w:t>
            </w:r>
          </w:p>
        </w:tc>
        <w:tc>
          <w:tcPr>
            <w:tcW w:w="1389" w:type="dxa"/>
            <w:tcBorders>
              <w:top w:val="nil"/>
              <w:left w:val="nil"/>
              <w:bottom w:val="single" w:sz="4" w:space="0" w:color="auto"/>
              <w:right w:val="single" w:sz="4" w:space="0" w:color="auto"/>
            </w:tcBorders>
            <w:shd w:val="clear" w:color="000000" w:fill="FFFFFF"/>
            <w:hideMark/>
          </w:tcPr>
          <w:p w14:paraId="43D245A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10,207.45</w:t>
            </w:r>
          </w:p>
        </w:tc>
        <w:tc>
          <w:tcPr>
            <w:tcW w:w="1237" w:type="dxa"/>
            <w:tcBorders>
              <w:top w:val="nil"/>
              <w:left w:val="nil"/>
              <w:bottom w:val="single" w:sz="4" w:space="0" w:color="auto"/>
              <w:right w:val="single" w:sz="4" w:space="0" w:color="auto"/>
            </w:tcBorders>
            <w:shd w:val="clear" w:color="000000" w:fill="FFFFFF"/>
            <w:hideMark/>
          </w:tcPr>
          <w:p w14:paraId="74C66C2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6,032.04</w:t>
            </w:r>
          </w:p>
        </w:tc>
        <w:tc>
          <w:tcPr>
            <w:tcW w:w="266" w:type="dxa"/>
            <w:tcBorders>
              <w:top w:val="nil"/>
              <w:left w:val="nil"/>
              <w:bottom w:val="nil"/>
              <w:right w:val="nil"/>
            </w:tcBorders>
            <w:shd w:val="clear" w:color="auto" w:fill="auto"/>
            <w:noWrap/>
            <w:vAlign w:val="bottom"/>
            <w:hideMark/>
          </w:tcPr>
          <w:p w14:paraId="7B2F4018"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5EBAE0B6"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424B9A08"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1468" w:type="dxa"/>
            <w:tcBorders>
              <w:top w:val="nil"/>
              <w:left w:val="nil"/>
              <w:bottom w:val="single" w:sz="4" w:space="0" w:color="auto"/>
              <w:right w:val="single" w:sz="4" w:space="0" w:color="auto"/>
            </w:tcBorders>
            <w:shd w:val="clear" w:color="000000" w:fill="FFFFFF"/>
            <w:hideMark/>
          </w:tcPr>
          <w:p w14:paraId="6960FEAB"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86.00</w:t>
            </w:r>
          </w:p>
        </w:tc>
        <w:tc>
          <w:tcPr>
            <w:tcW w:w="1440" w:type="dxa"/>
            <w:tcBorders>
              <w:top w:val="nil"/>
              <w:left w:val="nil"/>
              <w:bottom w:val="single" w:sz="4" w:space="0" w:color="auto"/>
              <w:right w:val="single" w:sz="4" w:space="0" w:color="auto"/>
            </w:tcBorders>
            <w:shd w:val="clear" w:color="000000" w:fill="FFFFFF"/>
            <w:hideMark/>
          </w:tcPr>
          <w:p w14:paraId="4916D73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1433.00</w:t>
            </w:r>
          </w:p>
        </w:tc>
        <w:tc>
          <w:tcPr>
            <w:tcW w:w="549" w:type="dxa"/>
            <w:tcBorders>
              <w:top w:val="nil"/>
              <w:left w:val="nil"/>
              <w:bottom w:val="single" w:sz="4" w:space="0" w:color="auto"/>
              <w:right w:val="single" w:sz="8" w:space="0" w:color="auto"/>
            </w:tcBorders>
            <w:shd w:val="clear" w:color="000000" w:fill="FFFFFF"/>
            <w:hideMark/>
          </w:tcPr>
          <w:p w14:paraId="0C4A29F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6.00</w:t>
            </w:r>
          </w:p>
        </w:tc>
      </w:tr>
      <w:tr w:rsidR="0003674A" w:rsidRPr="0003674A" w14:paraId="526C0128"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47C24A43"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Difference</w:t>
            </w:r>
          </w:p>
        </w:tc>
        <w:tc>
          <w:tcPr>
            <w:tcW w:w="1389" w:type="dxa"/>
            <w:tcBorders>
              <w:top w:val="nil"/>
              <w:left w:val="nil"/>
              <w:bottom w:val="single" w:sz="4" w:space="0" w:color="auto"/>
              <w:right w:val="single" w:sz="4" w:space="0" w:color="auto"/>
            </w:tcBorders>
            <w:shd w:val="clear" w:color="000000" w:fill="FFFFFF"/>
            <w:hideMark/>
          </w:tcPr>
          <w:p w14:paraId="03A7CCE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802.16</w:t>
            </w:r>
          </w:p>
        </w:tc>
        <w:tc>
          <w:tcPr>
            <w:tcW w:w="1237" w:type="dxa"/>
            <w:tcBorders>
              <w:top w:val="nil"/>
              <w:left w:val="nil"/>
              <w:bottom w:val="single" w:sz="4" w:space="0" w:color="auto"/>
              <w:right w:val="single" w:sz="4" w:space="0" w:color="auto"/>
            </w:tcBorders>
            <w:shd w:val="clear" w:color="000000" w:fill="FFFFFF"/>
            <w:hideMark/>
          </w:tcPr>
          <w:p w14:paraId="576D58B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1,507.98</w:t>
            </w:r>
          </w:p>
        </w:tc>
        <w:tc>
          <w:tcPr>
            <w:tcW w:w="266" w:type="dxa"/>
            <w:tcBorders>
              <w:top w:val="nil"/>
              <w:left w:val="nil"/>
              <w:bottom w:val="nil"/>
              <w:right w:val="nil"/>
            </w:tcBorders>
            <w:shd w:val="clear" w:color="auto" w:fill="auto"/>
            <w:noWrap/>
            <w:vAlign w:val="bottom"/>
            <w:hideMark/>
          </w:tcPr>
          <w:p w14:paraId="18F25727"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24063CC0"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nil"/>
              <w:bottom w:val="nil"/>
              <w:right w:val="nil"/>
            </w:tcBorders>
            <w:shd w:val="clear" w:color="auto" w:fill="auto"/>
            <w:noWrap/>
            <w:vAlign w:val="bottom"/>
            <w:hideMark/>
          </w:tcPr>
          <w:p w14:paraId="1E555377"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68" w:type="dxa"/>
            <w:tcBorders>
              <w:top w:val="nil"/>
              <w:left w:val="nil"/>
              <w:bottom w:val="nil"/>
              <w:right w:val="nil"/>
            </w:tcBorders>
            <w:shd w:val="clear" w:color="auto" w:fill="auto"/>
            <w:noWrap/>
            <w:vAlign w:val="bottom"/>
            <w:hideMark/>
          </w:tcPr>
          <w:p w14:paraId="4A6FBB2C"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40" w:type="dxa"/>
            <w:tcBorders>
              <w:top w:val="nil"/>
              <w:left w:val="nil"/>
              <w:bottom w:val="nil"/>
              <w:right w:val="nil"/>
            </w:tcBorders>
            <w:shd w:val="clear" w:color="auto" w:fill="auto"/>
            <w:noWrap/>
            <w:vAlign w:val="bottom"/>
            <w:hideMark/>
          </w:tcPr>
          <w:p w14:paraId="3B6C50A4"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549" w:type="dxa"/>
            <w:tcBorders>
              <w:top w:val="nil"/>
              <w:left w:val="nil"/>
              <w:bottom w:val="nil"/>
              <w:right w:val="single" w:sz="8" w:space="0" w:color="auto"/>
            </w:tcBorders>
            <w:shd w:val="clear" w:color="auto" w:fill="auto"/>
            <w:noWrap/>
            <w:vAlign w:val="bottom"/>
            <w:hideMark/>
          </w:tcPr>
          <w:p w14:paraId="455E6C42"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03674A" w:rsidRPr="0003674A" w14:paraId="5BF7B778" w14:textId="77777777" w:rsidTr="00507134">
        <w:trPr>
          <w:trHeight w:val="300"/>
        </w:trPr>
        <w:tc>
          <w:tcPr>
            <w:tcW w:w="1199" w:type="dxa"/>
            <w:tcBorders>
              <w:top w:val="nil"/>
              <w:left w:val="single" w:sz="8" w:space="0" w:color="auto"/>
              <w:bottom w:val="single" w:sz="4" w:space="0" w:color="auto"/>
              <w:right w:val="single" w:sz="4" w:space="0" w:color="auto"/>
            </w:tcBorders>
            <w:shd w:val="clear" w:color="000000" w:fill="FFFFFF"/>
            <w:hideMark/>
          </w:tcPr>
          <w:p w14:paraId="14754BED"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Pay Gap %</w:t>
            </w:r>
          </w:p>
        </w:tc>
        <w:tc>
          <w:tcPr>
            <w:tcW w:w="1389" w:type="dxa"/>
            <w:tcBorders>
              <w:top w:val="nil"/>
              <w:left w:val="nil"/>
              <w:bottom w:val="single" w:sz="4" w:space="0" w:color="auto"/>
              <w:right w:val="single" w:sz="4" w:space="0" w:color="auto"/>
            </w:tcBorders>
            <w:shd w:val="clear" w:color="000000" w:fill="FFFFFF"/>
            <w:hideMark/>
          </w:tcPr>
          <w:p w14:paraId="72EE8841"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7.29</w:t>
            </w:r>
          </w:p>
        </w:tc>
        <w:tc>
          <w:tcPr>
            <w:tcW w:w="1237" w:type="dxa"/>
            <w:tcBorders>
              <w:top w:val="nil"/>
              <w:left w:val="nil"/>
              <w:bottom w:val="single" w:sz="4" w:space="0" w:color="auto"/>
              <w:right w:val="single" w:sz="4" w:space="0" w:color="auto"/>
            </w:tcBorders>
            <w:shd w:val="clear" w:color="000000" w:fill="FFFFFF"/>
            <w:hideMark/>
          </w:tcPr>
          <w:p w14:paraId="43EE188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20.00</w:t>
            </w:r>
          </w:p>
        </w:tc>
        <w:tc>
          <w:tcPr>
            <w:tcW w:w="266" w:type="dxa"/>
            <w:tcBorders>
              <w:top w:val="nil"/>
              <w:left w:val="nil"/>
              <w:bottom w:val="nil"/>
              <w:right w:val="nil"/>
            </w:tcBorders>
            <w:shd w:val="clear" w:color="auto" w:fill="auto"/>
            <w:noWrap/>
            <w:vAlign w:val="bottom"/>
            <w:hideMark/>
          </w:tcPr>
          <w:p w14:paraId="7CB3A110" w14:textId="77777777" w:rsidR="002B7046" w:rsidRDefault="002B7046" w:rsidP="002B7046">
            <w:pPr>
              <w:spacing w:after="0" w:line="240" w:lineRule="auto"/>
              <w:jc w:val="right"/>
              <w:rPr>
                <w:rFonts w:ascii="Calibri" w:eastAsia="Times New Roman" w:hAnsi="Calibri" w:cs="Calibri"/>
                <w:color w:val="000000" w:themeColor="text1"/>
                <w:sz w:val="16"/>
                <w:szCs w:val="16"/>
                <w:lang w:eastAsia="en-GB"/>
              </w:rPr>
            </w:pPr>
          </w:p>
          <w:p w14:paraId="60ACAB3C" w14:textId="77777777" w:rsidR="0003674A" w:rsidRDefault="0003674A" w:rsidP="002B7046">
            <w:pPr>
              <w:spacing w:after="0" w:line="240" w:lineRule="auto"/>
              <w:jc w:val="right"/>
              <w:rPr>
                <w:rFonts w:ascii="Calibri" w:eastAsia="Times New Roman" w:hAnsi="Calibri" w:cs="Calibri"/>
                <w:color w:val="000000" w:themeColor="text1"/>
                <w:sz w:val="16"/>
                <w:szCs w:val="16"/>
                <w:lang w:eastAsia="en-GB"/>
              </w:rPr>
            </w:pPr>
          </w:p>
          <w:p w14:paraId="26AA3E92" w14:textId="77777777" w:rsidR="0003674A" w:rsidRDefault="0003674A" w:rsidP="002B7046">
            <w:pPr>
              <w:spacing w:after="0" w:line="240" w:lineRule="auto"/>
              <w:jc w:val="right"/>
              <w:rPr>
                <w:rFonts w:ascii="Calibri" w:eastAsia="Times New Roman" w:hAnsi="Calibri" w:cs="Calibri"/>
                <w:color w:val="000000" w:themeColor="text1"/>
                <w:sz w:val="16"/>
                <w:szCs w:val="16"/>
                <w:lang w:eastAsia="en-GB"/>
              </w:rPr>
            </w:pPr>
          </w:p>
          <w:p w14:paraId="684F5225" w14:textId="77777777" w:rsidR="0003674A" w:rsidRDefault="0003674A" w:rsidP="002B7046">
            <w:pPr>
              <w:spacing w:after="0" w:line="240" w:lineRule="auto"/>
              <w:jc w:val="right"/>
              <w:rPr>
                <w:rFonts w:ascii="Calibri" w:eastAsia="Times New Roman" w:hAnsi="Calibri" w:cs="Calibri"/>
                <w:color w:val="000000" w:themeColor="text1"/>
                <w:sz w:val="16"/>
                <w:szCs w:val="16"/>
                <w:lang w:eastAsia="en-GB"/>
              </w:rPr>
            </w:pPr>
          </w:p>
          <w:p w14:paraId="2030CBA4" w14:textId="6C2F2946" w:rsidR="0003674A" w:rsidRPr="0003674A" w:rsidRDefault="0003674A"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0B011412"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nil"/>
              <w:bottom w:val="nil"/>
              <w:right w:val="nil"/>
            </w:tcBorders>
            <w:shd w:val="clear" w:color="auto" w:fill="auto"/>
            <w:noWrap/>
            <w:vAlign w:val="bottom"/>
            <w:hideMark/>
          </w:tcPr>
          <w:p w14:paraId="436BA093"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68" w:type="dxa"/>
            <w:tcBorders>
              <w:top w:val="nil"/>
              <w:left w:val="nil"/>
              <w:bottom w:val="nil"/>
              <w:right w:val="nil"/>
            </w:tcBorders>
            <w:shd w:val="clear" w:color="auto" w:fill="auto"/>
            <w:noWrap/>
            <w:vAlign w:val="bottom"/>
            <w:hideMark/>
          </w:tcPr>
          <w:p w14:paraId="12FBFD6C"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40" w:type="dxa"/>
            <w:tcBorders>
              <w:top w:val="nil"/>
              <w:left w:val="nil"/>
              <w:bottom w:val="nil"/>
              <w:right w:val="nil"/>
            </w:tcBorders>
            <w:shd w:val="clear" w:color="auto" w:fill="auto"/>
            <w:noWrap/>
            <w:vAlign w:val="bottom"/>
            <w:hideMark/>
          </w:tcPr>
          <w:p w14:paraId="6835DFCA"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549" w:type="dxa"/>
            <w:tcBorders>
              <w:top w:val="nil"/>
              <w:left w:val="nil"/>
              <w:bottom w:val="nil"/>
              <w:right w:val="single" w:sz="8" w:space="0" w:color="auto"/>
            </w:tcBorders>
            <w:shd w:val="clear" w:color="auto" w:fill="auto"/>
            <w:noWrap/>
            <w:vAlign w:val="bottom"/>
            <w:hideMark/>
          </w:tcPr>
          <w:p w14:paraId="75D73420"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03674A" w:rsidRPr="0003674A" w14:paraId="2B5A2F0C" w14:textId="77777777" w:rsidTr="002B7046">
        <w:trPr>
          <w:trHeight w:val="288"/>
        </w:trPr>
        <w:tc>
          <w:tcPr>
            <w:tcW w:w="8680" w:type="dxa"/>
            <w:gridSpan w:val="9"/>
            <w:tcBorders>
              <w:top w:val="single" w:sz="8" w:space="0" w:color="auto"/>
              <w:left w:val="single" w:sz="8" w:space="0" w:color="auto"/>
              <w:bottom w:val="nil"/>
              <w:right w:val="single" w:sz="8" w:space="0" w:color="000000"/>
            </w:tcBorders>
            <w:shd w:val="clear" w:color="auto" w:fill="auto"/>
            <w:noWrap/>
            <w:vAlign w:val="bottom"/>
            <w:hideMark/>
          </w:tcPr>
          <w:p w14:paraId="49465C92"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Mar 21 bonus</w:t>
            </w:r>
          </w:p>
        </w:tc>
      </w:tr>
      <w:tr w:rsidR="0003674A" w:rsidRPr="0003674A" w14:paraId="497DE40A" w14:textId="77777777" w:rsidTr="00507134">
        <w:trPr>
          <w:trHeight w:val="408"/>
        </w:trPr>
        <w:tc>
          <w:tcPr>
            <w:tcW w:w="1199" w:type="dxa"/>
            <w:tcBorders>
              <w:top w:val="nil"/>
              <w:left w:val="single" w:sz="8" w:space="0" w:color="auto"/>
              <w:bottom w:val="single" w:sz="4" w:space="0" w:color="auto"/>
              <w:right w:val="single" w:sz="4" w:space="0" w:color="auto"/>
            </w:tcBorders>
            <w:shd w:val="clear" w:color="000000" w:fill="0066CC"/>
            <w:hideMark/>
          </w:tcPr>
          <w:p w14:paraId="3DCBA95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389" w:type="dxa"/>
            <w:tcBorders>
              <w:top w:val="nil"/>
              <w:left w:val="nil"/>
              <w:bottom w:val="single" w:sz="4" w:space="0" w:color="auto"/>
              <w:right w:val="single" w:sz="4" w:space="0" w:color="auto"/>
            </w:tcBorders>
            <w:shd w:val="clear" w:color="000000" w:fill="0066CC"/>
            <w:hideMark/>
          </w:tcPr>
          <w:p w14:paraId="492B469E"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Avg. Pay</w:t>
            </w:r>
          </w:p>
        </w:tc>
        <w:tc>
          <w:tcPr>
            <w:tcW w:w="1237" w:type="dxa"/>
            <w:tcBorders>
              <w:top w:val="nil"/>
              <w:left w:val="nil"/>
              <w:bottom w:val="single" w:sz="4" w:space="0" w:color="auto"/>
              <w:right w:val="single" w:sz="4" w:space="0" w:color="auto"/>
            </w:tcBorders>
            <w:shd w:val="clear" w:color="000000" w:fill="0066CC"/>
            <w:hideMark/>
          </w:tcPr>
          <w:p w14:paraId="1C40EC19"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Median Pay</w:t>
            </w:r>
          </w:p>
        </w:tc>
        <w:tc>
          <w:tcPr>
            <w:tcW w:w="266" w:type="dxa"/>
            <w:tcBorders>
              <w:top w:val="nil"/>
              <w:left w:val="nil"/>
              <w:bottom w:val="nil"/>
              <w:right w:val="nil"/>
            </w:tcBorders>
            <w:shd w:val="clear" w:color="auto" w:fill="auto"/>
            <w:noWrap/>
            <w:vAlign w:val="bottom"/>
            <w:hideMark/>
          </w:tcPr>
          <w:p w14:paraId="01AE469D"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15D7AC1C"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0DF2750F"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468" w:type="dxa"/>
            <w:tcBorders>
              <w:top w:val="nil"/>
              <w:left w:val="nil"/>
              <w:bottom w:val="single" w:sz="4" w:space="0" w:color="auto"/>
              <w:right w:val="single" w:sz="4" w:space="0" w:color="auto"/>
            </w:tcBorders>
            <w:shd w:val="clear" w:color="000000" w:fill="0066CC"/>
            <w:hideMark/>
          </w:tcPr>
          <w:p w14:paraId="2981847C"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Employees Paid Bonus</w:t>
            </w:r>
          </w:p>
        </w:tc>
        <w:tc>
          <w:tcPr>
            <w:tcW w:w="1440" w:type="dxa"/>
            <w:tcBorders>
              <w:top w:val="nil"/>
              <w:left w:val="nil"/>
              <w:bottom w:val="single" w:sz="4" w:space="0" w:color="auto"/>
              <w:right w:val="single" w:sz="4" w:space="0" w:color="auto"/>
            </w:tcBorders>
            <w:shd w:val="clear" w:color="000000" w:fill="0066CC"/>
            <w:hideMark/>
          </w:tcPr>
          <w:p w14:paraId="68C4603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Total Relevant Employees</w:t>
            </w:r>
          </w:p>
        </w:tc>
        <w:tc>
          <w:tcPr>
            <w:tcW w:w="549" w:type="dxa"/>
            <w:tcBorders>
              <w:top w:val="nil"/>
              <w:left w:val="nil"/>
              <w:bottom w:val="single" w:sz="4" w:space="0" w:color="auto"/>
              <w:right w:val="single" w:sz="8" w:space="0" w:color="auto"/>
            </w:tcBorders>
            <w:shd w:val="clear" w:color="000000" w:fill="0066CC"/>
            <w:hideMark/>
          </w:tcPr>
          <w:p w14:paraId="50AAF4CB"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w:t>
            </w:r>
          </w:p>
        </w:tc>
      </w:tr>
      <w:tr w:rsidR="0003674A" w:rsidRPr="0003674A" w14:paraId="6DEA4558"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7DA23ABB"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Male</w:t>
            </w:r>
          </w:p>
        </w:tc>
        <w:tc>
          <w:tcPr>
            <w:tcW w:w="1389" w:type="dxa"/>
            <w:tcBorders>
              <w:top w:val="single" w:sz="4" w:space="0" w:color="979991"/>
              <w:left w:val="single" w:sz="4" w:space="0" w:color="979991"/>
              <w:bottom w:val="single" w:sz="4" w:space="0" w:color="979991"/>
              <w:right w:val="nil"/>
            </w:tcBorders>
            <w:shd w:val="clear" w:color="000000" w:fill="FFFFFF"/>
            <w:hideMark/>
          </w:tcPr>
          <w:p w14:paraId="53B415B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11,009.61</w:t>
            </w:r>
          </w:p>
        </w:tc>
        <w:tc>
          <w:tcPr>
            <w:tcW w:w="1237" w:type="dxa"/>
            <w:tcBorders>
              <w:top w:val="single" w:sz="4" w:space="0" w:color="979991"/>
              <w:left w:val="single" w:sz="4" w:space="0" w:color="979991"/>
              <w:bottom w:val="single" w:sz="4" w:space="0" w:color="979991"/>
              <w:right w:val="single" w:sz="4" w:space="0" w:color="979991"/>
            </w:tcBorders>
            <w:shd w:val="clear" w:color="000000" w:fill="FFFFFF"/>
            <w:hideMark/>
          </w:tcPr>
          <w:p w14:paraId="3EB2CC9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7,540.02</w:t>
            </w:r>
          </w:p>
        </w:tc>
        <w:tc>
          <w:tcPr>
            <w:tcW w:w="266" w:type="dxa"/>
            <w:tcBorders>
              <w:top w:val="nil"/>
              <w:left w:val="nil"/>
              <w:bottom w:val="nil"/>
              <w:right w:val="nil"/>
            </w:tcBorders>
            <w:shd w:val="clear" w:color="auto" w:fill="auto"/>
            <w:noWrap/>
            <w:vAlign w:val="bottom"/>
            <w:hideMark/>
          </w:tcPr>
          <w:p w14:paraId="6C5FFAB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39226FB0"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79237CBD"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1468" w:type="dxa"/>
            <w:tcBorders>
              <w:top w:val="single" w:sz="4" w:space="0" w:color="979991"/>
              <w:left w:val="single" w:sz="4" w:space="0" w:color="979991"/>
              <w:bottom w:val="single" w:sz="4" w:space="0" w:color="979991"/>
              <w:right w:val="nil"/>
            </w:tcBorders>
            <w:shd w:val="clear" w:color="000000" w:fill="FFFFFF"/>
            <w:hideMark/>
          </w:tcPr>
          <w:p w14:paraId="61755BA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18.00</w:t>
            </w:r>
          </w:p>
        </w:tc>
        <w:tc>
          <w:tcPr>
            <w:tcW w:w="1440" w:type="dxa"/>
            <w:tcBorders>
              <w:top w:val="single" w:sz="4" w:space="0" w:color="979991"/>
              <w:left w:val="single" w:sz="4" w:space="0" w:color="979991"/>
              <w:bottom w:val="single" w:sz="4" w:space="0" w:color="979991"/>
              <w:right w:val="nil"/>
            </w:tcBorders>
            <w:shd w:val="clear" w:color="000000" w:fill="FFFFFF"/>
            <w:hideMark/>
          </w:tcPr>
          <w:p w14:paraId="6E497B8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5601.00</w:t>
            </w:r>
          </w:p>
        </w:tc>
        <w:tc>
          <w:tcPr>
            <w:tcW w:w="549" w:type="dxa"/>
            <w:tcBorders>
              <w:top w:val="single" w:sz="4" w:space="0" w:color="979991"/>
              <w:left w:val="single" w:sz="4" w:space="0" w:color="979991"/>
              <w:bottom w:val="single" w:sz="4" w:space="0" w:color="979991"/>
              <w:right w:val="single" w:sz="4" w:space="0" w:color="979991"/>
            </w:tcBorders>
            <w:shd w:val="clear" w:color="000000" w:fill="FFFFFF"/>
            <w:hideMark/>
          </w:tcPr>
          <w:p w14:paraId="1414681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0.32</w:t>
            </w:r>
          </w:p>
        </w:tc>
      </w:tr>
      <w:tr w:rsidR="0003674A" w:rsidRPr="0003674A" w14:paraId="061B392D"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4F733EFF"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Female</w:t>
            </w:r>
          </w:p>
        </w:tc>
        <w:tc>
          <w:tcPr>
            <w:tcW w:w="1389" w:type="dxa"/>
            <w:tcBorders>
              <w:top w:val="nil"/>
              <w:left w:val="single" w:sz="4" w:space="0" w:color="979991"/>
              <w:bottom w:val="single" w:sz="4" w:space="0" w:color="979991"/>
              <w:right w:val="nil"/>
            </w:tcBorders>
            <w:shd w:val="clear" w:color="000000" w:fill="FFFFFF"/>
            <w:hideMark/>
          </w:tcPr>
          <w:p w14:paraId="1344AA8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10,207.45</w:t>
            </w:r>
          </w:p>
        </w:tc>
        <w:tc>
          <w:tcPr>
            <w:tcW w:w="1237" w:type="dxa"/>
            <w:tcBorders>
              <w:top w:val="nil"/>
              <w:left w:val="single" w:sz="4" w:space="0" w:color="979991"/>
              <w:bottom w:val="single" w:sz="4" w:space="0" w:color="979991"/>
              <w:right w:val="single" w:sz="4" w:space="0" w:color="979991"/>
            </w:tcBorders>
            <w:shd w:val="clear" w:color="000000" w:fill="FFFFFF"/>
            <w:hideMark/>
          </w:tcPr>
          <w:p w14:paraId="4C4FF555"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6,032.04</w:t>
            </w:r>
          </w:p>
        </w:tc>
        <w:tc>
          <w:tcPr>
            <w:tcW w:w="266" w:type="dxa"/>
            <w:tcBorders>
              <w:top w:val="nil"/>
              <w:left w:val="nil"/>
              <w:bottom w:val="nil"/>
              <w:right w:val="nil"/>
            </w:tcBorders>
            <w:shd w:val="clear" w:color="auto" w:fill="auto"/>
            <w:noWrap/>
            <w:vAlign w:val="bottom"/>
            <w:hideMark/>
          </w:tcPr>
          <w:p w14:paraId="32839F5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7E857252"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607FB530"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1468" w:type="dxa"/>
            <w:tcBorders>
              <w:top w:val="nil"/>
              <w:left w:val="single" w:sz="4" w:space="0" w:color="979991"/>
              <w:bottom w:val="single" w:sz="4" w:space="0" w:color="979991"/>
              <w:right w:val="nil"/>
            </w:tcBorders>
            <w:shd w:val="clear" w:color="000000" w:fill="FFFFFF"/>
            <w:hideMark/>
          </w:tcPr>
          <w:p w14:paraId="1E56E6F4"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86.00</w:t>
            </w:r>
          </w:p>
        </w:tc>
        <w:tc>
          <w:tcPr>
            <w:tcW w:w="1440" w:type="dxa"/>
            <w:tcBorders>
              <w:top w:val="nil"/>
              <w:left w:val="single" w:sz="4" w:space="0" w:color="979991"/>
              <w:bottom w:val="single" w:sz="4" w:space="0" w:color="979991"/>
              <w:right w:val="nil"/>
            </w:tcBorders>
            <w:shd w:val="clear" w:color="000000" w:fill="FFFFFF"/>
            <w:hideMark/>
          </w:tcPr>
          <w:p w14:paraId="06E6E36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1249.00</w:t>
            </w:r>
          </w:p>
        </w:tc>
        <w:tc>
          <w:tcPr>
            <w:tcW w:w="549" w:type="dxa"/>
            <w:tcBorders>
              <w:top w:val="nil"/>
              <w:left w:val="single" w:sz="4" w:space="0" w:color="979991"/>
              <w:bottom w:val="single" w:sz="4" w:space="0" w:color="979991"/>
              <w:right w:val="single" w:sz="4" w:space="0" w:color="979991"/>
            </w:tcBorders>
            <w:shd w:val="clear" w:color="000000" w:fill="FFFFFF"/>
            <w:hideMark/>
          </w:tcPr>
          <w:p w14:paraId="62AF9CB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6.89</w:t>
            </w:r>
          </w:p>
        </w:tc>
      </w:tr>
      <w:tr w:rsidR="0003674A" w:rsidRPr="0003674A" w14:paraId="032D664C"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5D6D2506"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Difference</w:t>
            </w:r>
          </w:p>
        </w:tc>
        <w:tc>
          <w:tcPr>
            <w:tcW w:w="1389" w:type="dxa"/>
            <w:tcBorders>
              <w:top w:val="nil"/>
              <w:left w:val="single" w:sz="4" w:space="0" w:color="979991"/>
              <w:bottom w:val="single" w:sz="4" w:space="0" w:color="979991"/>
              <w:right w:val="nil"/>
            </w:tcBorders>
            <w:shd w:val="clear" w:color="000000" w:fill="FFFFFF"/>
            <w:hideMark/>
          </w:tcPr>
          <w:p w14:paraId="3F32416E"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802.16</w:t>
            </w:r>
          </w:p>
        </w:tc>
        <w:tc>
          <w:tcPr>
            <w:tcW w:w="1237" w:type="dxa"/>
            <w:tcBorders>
              <w:top w:val="nil"/>
              <w:left w:val="single" w:sz="4" w:space="0" w:color="979991"/>
              <w:bottom w:val="single" w:sz="4" w:space="0" w:color="979991"/>
              <w:right w:val="single" w:sz="4" w:space="0" w:color="979991"/>
            </w:tcBorders>
            <w:shd w:val="clear" w:color="000000" w:fill="FFFFFF"/>
            <w:hideMark/>
          </w:tcPr>
          <w:p w14:paraId="0604E22B"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1,507.98</w:t>
            </w:r>
          </w:p>
        </w:tc>
        <w:tc>
          <w:tcPr>
            <w:tcW w:w="266" w:type="dxa"/>
            <w:tcBorders>
              <w:top w:val="nil"/>
              <w:left w:val="nil"/>
              <w:bottom w:val="nil"/>
              <w:right w:val="nil"/>
            </w:tcBorders>
            <w:shd w:val="clear" w:color="auto" w:fill="auto"/>
            <w:noWrap/>
            <w:vAlign w:val="bottom"/>
            <w:hideMark/>
          </w:tcPr>
          <w:p w14:paraId="046550D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3DDBB51B"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nil"/>
              <w:bottom w:val="nil"/>
              <w:right w:val="nil"/>
            </w:tcBorders>
            <w:shd w:val="clear" w:color="auto" w:fill="auto"/>
            <w:noWrap/>
            <w:vAlign w:val="bottom"/>
            <w:hideMark/>
          </w:tcPr>
          <w:p w14:paraId="30BF9497"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68" w:type="dxa"/>
            <w:tcBorders>
              <w:top w:val="nil"/>
              <w:left w:val="nil"/>
              <w:bottom w:val="nil"/>
              <w:right w:val="nil"/>
            </w:tcBorders>
            <w:shd w:val="clear" w:color="auto" w:fill="auto"/>
            <w:noWrap/>
            <w:vAlign w:val="bottom"/>
            <w:hideMark/>
          </w:tcPr>
          <w:p w14:paraId="40B43F25"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40" w:type="dxa"/>
            <w:tcBorders>
              <w:top w:val="nil"/>
              <w:left w:val="nil"/>
              <w:bottom w:val="nil"/>
              <w:right w:val="nil"/>
            </w:tcBorders>
            <w:shd w:val="clear" w:color="auto" w:fill="auto"/>
            <w:noWrap/>
            <w:vAlign w:val="bottom"/>
            <w:hideMark/>
          </w:tcPr>
          <w:p w14:paraId="5DE7438F"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549" w:type="dxa"/>
            <w:tcBorders>
              <w:top w:val="nil"/>
              <w:left w:val="nil"/>
              <w:bottom w:val="nil"/>
              <w:right w:val="single" w:sz="8" w:space="0" w:color="auto"/>
            </w:tcBorders>
            <w:shd w:val="clear" w:color="auto" w:fill="auto"/>
            <w:noWrap/>
            <w:vAlign w:val="bottom"/>
            <w:hideMark/>
          </w:tcPr>
          <w:p w14:paraId="0C17ABFB"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03674A" w:rsidRPr="0003674A" w14:paraId="7FAB8297" w14:textId="77777777" w:rsidTr="00507134">
        <w:trPr>
          <w:trHeight w:val="300"/>
        </w:trPr>
        <w:tc>
          <w:tcPr>
            <w:tcW w:w="1199" w:type="dxa"/>
            <w:tcBorders>
              <w:top w:val="nil"/>
              <w:left w:val="single" w:sz="8" w:space="0" w:color="auto"/>
              <w:bottom w:val="single" w:sz="4" w:space="0" w:color="auto"/>
              <w:right w:val="single" w:sz="4" w:space="0" w:color="auto"/>
            </w:tcBorders>
            <w:shd w:val="clear" w:color="000000" w:fill="FFFFFF"/>
            <w:hideMark/>
          </w:tcPr>
          <w:p w14:paraId="7FBA283B"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Pay Gap %</w:t>
            </w:r>
          </w:p>
        </w:tc>
        <w:tc>
          <w:tcPr>
            <w:tcW w:w="1389" w:type="dxa"/>
            <w:tcBorders>
              <w:top w:val="nil"/>
              <w:left w:val="single" w:sz="4" w:space="0" w:color="979991"/>
              <w:bottom w:val="single" w:sz="4" w:space="0" w:color="979991"/>
              <w:right w:val="nil"/>
            </w:tcBorders>
            <w:shd w:val="clear" w:color="000000" w:fill="FFFFFF"/>
            <w:hideMark/>
          </w:tcPr>
          <w:p w14:paraId="23A6493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7.29</w:t>
            </w:r>
          </w:p>
        </w:tc>
        <w:tc>
          <w:tcPr>
            <w:tcW w:w="1237" w:type="dxa"/>
            <w:tcBorders>
              <w:top w:val="nil"/>
              <w:left w:val="single" w:sz="4" w:space="0" w:color="979991"/>
              <w:bottom w:val="single" w:sz="4" w:space="0" w:color="979991"/>
              <w:right w:val="single" w:sz="4" w:space="0" w:color="979991"/>
            </w:tcBorders>
            <w:shd w:val="clear" w:color="000000" w:fill="FFFFFF"/>
            <w:hideMark/>
          </w:tcPr>
          <w:p w14:paraId="3D545FA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20.00</w:t>
            </w:r>
          </w:p>
        </w:tc>
        <w:tc>
          <w:tcPr>
            <w:tcW w:w="266" w:type="dxa"/>
            <w:tcBorders>
              <w:top w:val="nil"/>
              <w:left w:val="nil"/>
              <w:bottom w:val="nil"/>
              <w:right w:val="nil"/>
            </w:tcBorders>
            <w:shd w:val="clear" w:color="auto" w:fill="auto"/>
            <w:noWrap/>
            <w:vAlign w:val="bottom"/>
            <w:hideMark/>
          </w:tcPr>
          <w:p w14:paraId="68E5A5B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4D132B7B"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nil"/>
              <w:bottom w:val="nil"/>
              <w:right w:val="nil"/>
            </w:tcBorders>
            <w:shd w:val="clear" w:color="auto" w:fill="auto"/>
            <w:noWrap/>
            <w:vAlign w:val="bottom"/>
            <w:hideMark/>
          </w:tcPr>
          <w:p w14:paraId="7377EAE4"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68" w:type="dxa"/>
            <w:tcBorders>
              <w:top w:val="nil"/>
              <w:left w:val="nil"/>
              <w:bottom w:val="nil"/>
              <w:right w:val="nil"/>
            </w:tcBorders>
            <w:shd w:val="clear" w:color="auto" w:fill="auto"/>
            <w:noWrap/>
            <w:vAlign w:val="bottom"/>
            <w:hideMark/>
          </w:tcPr>
          <w:p w14:paraId="5A7B2B88"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40" w:type="dxa"/>
            <w:tcBorders>
              <w:top w:val="nil"/>
              <w:left w:val="nil"/>
              <w:bottom w:val="nil"/>
              <w:right w:val="nil"/>
            </w:tcBorders>
            <w:shd w:val="clear" w:color="auto" w:fill="auto"/>
            <w:noWrap/>
            <w:vAlign w:val="bottom"/>
            <w:hideMark/>
          </w:tcPr>
          <w:p w14:paraId="4241E03D"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549" w:type="dxa"/>
            <w:tcBorders>
              <w:top w:val="nil"/>
              <w:left w:val="nil"/>
              <w:bottom w:val="nil"/>
              <w:right w:val="single" w:sz="8" w:space="0" w:color="auto"/>
            </w:tcBorders>
            <w:shd w:val="clear" w:color="auto" w:fill="auto"/>
            <w:noWrap/>
            <w:vAlign w:val="bottom"/>
            <w:hideMark/>
          </w:tcPr>
          <w:p w14:paraId="74446A36"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03674A" w:rsidRPr="0003674A" w14:paraId="188D0299" w14:textId="77777777" w:rsidTr="002B7046">
        <w:trPr>
          <w:trHeight w:val="288"/>
        </w:trPr>
        <w:tc>
          <w:tcPr>
            <w:tcW w:w="8680" w:type="dxa"/>
            <w:gridSpan w:val="9"/>
            <w:tcBorders>
              <w:top w:val="single" w:sz="8" w:space="0" w:color="auto"/>
              <w:left w:val="single" w:sz="8" w:space="0" w:color="auto"/>
              <w:bottom w:val="nil"/>
              <w:right w:val="single" w:sz="8" w:space="0" w:color="000000"/>
            </w:tcBorders>
            <w:shd w:val="clear" w:color="auto" w:fill="auto"/>
            <w:noWrap/>
            <w:vAlign w:val="bottom"/>
            <w:hideMark/>
          </w:tcPr>
          <w:p w14:paraId="71BDC720" w14:textId="77777777" w:rsidR="002B7046" w:rsidRPr="0003674A" w:rsidRDefault="002B7046" w:rsidP="002B7046">
            <w:pPr>
              <w:spacing w:after="0" w:line="240" w:lineRule="auto"/>
              <w:jc w:val="center"/>
              <w:rPr>
                <w:rFonts w:ascii="Calibri" w:eastAsia="Times New Roman" w:hAnsi="Calibri" w:cs="Calibri"/>
                <w:b/>
                <w:bCs/>
                <w:color w:val="000000" w:themeColor="text1"/>
                <w:lang w:eastAsia="en-GB"/>
              </w:rPr>
            </w:pPr>
            <w:r w:rsidRPr="0003674A">
              <w:rPr>
                <w:rFonts w:ascii="Calibri" w:eastAsia="Times New Roman" w:hAnsi="Calibri" w:cs="Calibri"/>
                <w:b/>
                <w:bCs/>
                <w:color w:val="000000" w:themeColor="text1"/>
                <w:lang w:eastAsia="en-GB"/>
              </w:rPr>
              <w:t xml:space="preserve">20/21 bonus comparison </w:t>
            </w:r>
          </w:p>
        </w:tc>
      </w:tr>
      <w:tr w:rsidR="0003674A" w:rsidRPr="0003674A" w14:paraId="2F073A80" w14:textId="77777777" w:rsidTr="00507134">
        <w:trPr>
          <w:trHeight w:val="408"/>
        </w:trPr>
        <w:tc>
          <w:tcPr>
            <w:tcW w:w="1199" w:type="dxa"/>
            <w:tcBorders>
              <w:top w:val="single" w:sz="4" w:space="0" w:color="auto"/>
              <w:left w:val="single" w:sz="8" w:space="0" w:color="auto"/>
              <w:bottom w:val="single" w:sz="4" w:space="0" w:color="auto"/>
              <w:right w:val="single" w:sz="4" w:space="0" w:color="auto"/>
            </w:tcBorders>
            <w:shd w:val="clear" w:color="000000" w:fill="0066CC"/>
            <w:hideMark/>
          </w:tcPr>
          <w:p w14:paraId="74A977AD"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389" w:type="dxa"/>
            <w:tcBorders>
              <w:top w:val="single" w:sz="4" w:space="0" w:color="auto"/>
              <w:left w:val="nil"/>
              <w:bottom w:val="single" w:sz="4" w:space="0" w:color="auto"/>
              <w:right w:val="single" w:sz="4" w:space="0" w:color="auto"/>
            </w:tcBorders>
            <w:shd w:val="clear" w:color="000000" w:fill="0066CC"/>
            <w:hideMark/>
          </w:tcPr>
          <w:p w14:paraId="24612EB8"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Avg. Pay</w:t>
            </w:r>
          </w:p>
        </w:tc>
        <w:tc>
          <w:tcPr>
            <w:tcW w:w="1237" w:type="dxa"/>
            <w:tcBorders>
              <w:top w:val="single" w:sz="4" w:space="0" w:color="auto"/>
              <w:left w:val="nil"/>
              <w:bottom w:val="single" w:sz="4" w:space="0" w:color="auto"/>
              <w:right w:val="single" w:sz="4" w:space="0" w:color="auto"/>
            </w:tcBorders>
            <w:shd w:val="clear" w:color="000000" w:fill="0066CC"/>
            <w:hideMark/>
          </w:tcPr>
          <w:p w14:paraId="3F4A20E3"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Median Pay</w:t>
            </w:r>
          </w:p>
        </w:tc>
        <w:tc>
          <w:tcPr>
            <w:tcW w:w="266" w:type="dxa"/>
            <w:tcBorders>
              <w:top w:val="nil"/>
              <w:left w:val="nil"/>
              <w:bottom w:val="nil"/>
              <w:right w:val="nil"/>
            </w:tcBorders>
            <w:shd w:val="clear" w:color="auto" w:fill="auto"/>
            <w:noWrap/>
            <w:vAlign w:val="bottom"/>
            <w:hideMark/>
          </w:tcPr>
          <w:p w14:paraId="19DC685A"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379C0DE7"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single" w:sz="4" w:space="0" w:color="auto"/>
              <w:left w:val="single" w:sz="4" w:space="0" w:color="auto"/>
              <w:bottom w:val="single" w:sz="4" w:space="0" w:color="auto"/>
              <w:right w:val="single" w:sz="4" w:space="0" w:color="auto"/>
            </w:tcBorders>
            <w:shd w:val="clear" w:color="000000" w:fill="0066CC"/>
            <w:hideMark/>
          </w:tcPr>
          <w:p w14:paraId="78CE1C26"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Gender</w:t>
            </w:r>
          </w:p>
        </w:tc>
        <w:tc>
          <w:tcPr>
            <w:tcW w:w="1468" w:type="dxa"/>
            <w:tcBorders>
              <w:top w:val="single" w:sz="4" w:space="0" w:color="auto"/>
              <w:left w:val="nil"/>
              <w:bottom w:val="single" w:sz="4" w:space="0" w:color="auto"/>
              <w:right w:val="single" w:sz="4" w:space="0" w:color="auto"/>
            </w:tcBorders>
            <w:shd w:val="clear" w:color="000000" w:fill="0066CC"/>
            <w:hideMark/>
          </w:tcPr>
          <w:p w14:paraId="161AD7B7"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Employees Paid Bonus</w:t>
            </w:r>
          </w:p>
        </w:tc>
        <w:tc>
          <w:tcPr>
            <w:tcW w:w="1440" w:type="dxa"/>
            <w:tcBorders>
              <w:top w:val="single" w:sz="4" w:space="0" w:color="auto"/>
              <w:left w:val="nil"/>
              <w:bottom w:val="single" w:sz="4" w:space="0" w:color="auto"/>
              <w:right w:val="single" w:sz="4" w:space="0" w:color="auto"/>
            </w:tcBorders>
            <w:shd w:val="clear" w:color="000000" w:fill="0066CC"/>
            <w:hideMark/>
          </w:tcPr>
          <w:p w14:paraId="1ED24F57"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Total Relevant Employees</w:t>
            </w:r>
          </w:p>
        </w:tc>
        <w:tc>
          <w:tcPr>
            <w:tcW w:w="549" w:type="dxa"/>
            <w:tcBorders>
              <w:top w:val="single" w:sz="4" w:space="0" w:color="auto"/>
              <w:left w:val="nil"/>
              <w:bottom w:val="single" w:sz="4" w:space="0" w:color="auto"/>
              <w:right w:val="single" w:sz="8" w:space="0" w:color="auto"/>
            </w:tcBorders>
            <w:shd w:val="clear" w:color="000000" w:fill="0066CC"/>
            <w:hideMark/>
          </w:tcPr>
          <w:p w14:paraId="053A7781"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w:t>
            </w:r>
          </w:p>
        </w:tc>
      </w:tr>
      <w:tr w:rsidR="0003674A" w:rsidRPr="0003674A" w14:paraId="6EECBAB3"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435C018A"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Male</w:t>
            </w:r>
          </w:p>
        </w:tc>
        <w:tc>
          <w:tcPr>
            <w:tcW w:w="1389" w:type="dxa"/>
            <w:tcBorders>
              <w:top w:val="nil"/>
              <w:left w:val="nil"/>
              <w:bottom w:val="single" w:sz="4" w:space="0" w:color="auto"/>
              <w:right w:val="single" w:sz="4" w:space="0" w:color="auto"/>
            </w:tcBorders>
            <w:shd w:val="clear" w:color="000000" w:fill="FFFFFF"/>
            <w:hideMark/>
          </w:tcPr>
          <w:p w14:paraId="3BB3D816"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1237" w:type="dxa"/>
            <w:tcBorders>
              <w:top w:val="nil"/>
              <w:left w:val="nil"/>
              <w:bottom w:val="single" w:sz="4" w:space="0" w:color="auto"/>
              <w:right w:val="single" w:sz="4" w:space="0" w:color="auto"/>
            </w:tcBorders>
            <w:shd w:val="clear" w:color="000000" w:fill="FFFFFF"/>
            <w:hideMark/>
          </w:tcPr>
          <w:p w14:paraId="7D758C5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266" w:type="dxa"/>
            <w:tcBorders>
              <w:top w:val="nil"/>
              <w:left w:val="nil"/>
              <w:bottom w:val="nil"/>
              <w:right w:val="nil"/>
            </w:tcBorders>
            <w:shd w:val="clear" w:color="auto" w:fill="auto"/>
            <w:noWrap/>
            <w:vAlign w:val="bottom"/>
            <w:hideMark/>
          </w:tcPr>
          <w:p w14:paraId="2197043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398859AA"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3EE49963"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Female</w:t>
            </w:r>
          </w:p>
        </w:tc>
        <w:tc>
          <w:tcPr>
            <w:tcW w:w="1468" w:type="dxa"/>
            <w:tcBorders>
              <w:top w:val="nil"/>
              <w:left w:val="nil"/>
              <w:bottom w:val="single" w:sz="4" w:space="0" w:color="auto"/>
              <w:right w:val="single" w:sz="4" w:space="0" w:color="auto"/>
            </w:tcBorders>
            <w:shd w:val="clear" w:color="000000" w:fill="FFFFFF"/>
            <w:hideMark/>
          </w:tcPr>
          <w:p w14:paraId="62DD4181"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1440" w:type="dxa"/>
            <w:tcBorders>
              <w:top w:val="nil"/>
              <w:left w:val="nil"/>
              <w:bottom w:val="single" w:sz="4" w:space="0" w:color="auto"/>
              <w:right w:val="single" w:sz="4" w:space="0" w:color="auto"/>
            </w:tcBorders>
            <w:shd w:val="clear" w:color="000000" w:fill="FFFFFF"/>
            <w:hideMark/>
          </w:tcPr>
          <w:p w14:paraId="5D26EA32"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-67.00</w:t>
            </w:r>
          </w:p>
        </w:tc>
        <w:tc>
          <w:tcPr>
            <w:tcW w:w="549" w:type="dxa"/>
            <w:tcBorders>
              <w:top w:val="nil"/>
              <w:left w:val="nil"/>
              <w:bottom w:val="single" w:sz="4" w:space="0" w:color="auto"/>
              <w:right w:val="single" w:sz="8" w:space="0" w:color="auto"/>
            </w:tcBorders>
            <w:shd w:val="clear" w:color="000000" w:fill="FFFFFF"/>
            <w:hideMark/>
          </w:tcPr>
          <w:p w14:paraId="38F3756D"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r>
      <w:tr w:rsidR="0003674A" w:rsidRPr="0003674A" w14:paraId="45C45D19"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0AC358A5"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Female</w:t>
            </w:r>
          </w:p>
        </w:tc>
        <w:tc>
          <w:tcPr>
            <w:tcW w:w="1389" w:type="dxa"/>
            <w:tcBorders>
              <w:top w:val="nil"/>
              <w:left w:val="nil"/>
              <w:bottom w:val="single" w:sz="4" w:space="0" w:color="auto"/>
              <w:right w:val="single" w:sz="4" w:space="0" w:color="auto"/>
            </w:tcBorders>
            <w:shd w:val="clear" w:color="000000" w:fill="FFFFFF"/>
            <w:hideMark/>
          </w:tcPr>
          <w:p w14:paraId="032C6FE9"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1237" w:type="dxa"/>
            <w:tcBorders>
              <w:top w:val="nil"/>
              <w:left w:val="nil"/>
              <w:bottom w:val="single" w:sz="4" w:space="0" w:color="auto"/>
              <w:right w:val="single" w:sz="4" w:space="0" w:color="auto"/>
            </w:tcBorders>
            <w:shd w:val="clear" w:color="000000" w:fill="FFFFFF"/>
            <w:hideMark/>
          </w:tcPr>
          <w:p w14:paraId="5ACDF970"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266" w:type="dxa"/>
            <w:tcBorders>
              <w:top w:val="nil"/>
              <w:left w:val="nil"/>
              <w:bottom w:val="nil"/>
              <w:right w:val="nil"/>
            </w:tcBorders>
            <w:shd w:val="clear" w:color="auto" w:fill="auto"/>
            <w:noWrap/>
            <w:vAlign w:val="bottom"/>
            <w:hideMark/>
          </w:tcPr>
          <w:p w14:paraId="2AE71595"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7E33C214"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single" w:sz="4" w:space="0" w:color="auto"/>
              <w:bottom w:val="single" w:sz="4" w:space="0" w:color="auto"/>
              <w:right w:val="single" w:sz="4" w:space="0" w:color="auto"/>
            </w:tcBorders>
            <w:shd w:val="clear" w:color="000000" w:fill="0066CC"/>
            <w:hideMark/>
          </w:tcPr>
          <w:p w14:paraId="22A96803" w14:textId="77777777" w:rsidR="002B7046" w:rsidRPr="0003674A" w:rsidRDefault="002B7046" w:rsidP="002B7046">
            <w:pPr>
              <w:spacing w:after="0" w:line="240" w:lineRule="auto"/>
              <w:rPr>
                <w:rFonts w:ascii="Calibri" w:eastAsia="Times New Roman" w:hAnsi="Calibri" w:cs="Calibri"/>
                <w:b/>
                <w:bCs/>
                <w:color w:val="000000" w:themeColor="text1"/>
                <w:sz w:val="16"/>
                <w:szCs w:val="16"/>
                <w:lang w:eastAsia="en-GB"/>
              </w:rPr>
            </w:pPr>
            <w:r w:rsidRPr="0003674A">
              <w:rPr>
                <w:rFonts w:ascii="Calibri" w:eastAsia="Times New Roman" w:hAnsi="Calibri" w:cs="Calibri"/>
                <w:b/>
                <w:bCs/>
                <w:color w:val="000000" w:themeColor="text1"/>
                <w:sz w:val="16"/>
                <w:szCs w:val="16"/>
                <w:lang w:eastAsia="en-GB"/>
              </w:rPr>
              <w:t>Male</w:t>
            </w:r>
          </w:p>
        </w:tc>
        <w:tc>
          <w:tcPr>
            <w:tcW w:w="1468" w:type="dxa"/>
            <w:tcBorders>
              <w:top w:val="nil"/>
              <w:left w:val="nil"/>
              <w:bottom w:val="single" w:sz="4" w:space="0" w:color="auto"/>
              <w:right w:val="single" w:sz="4" w:space="0" w:color="auto"/>
            </w:tcBorders>
            <w:shd w:val="clear" w:color="000000" w:fill="FFFFFF"/>
            <w:hideMark/>
          </w:tcPr>
          <w:p w14:paraId="5808008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1440" w:type="dxa"/>
            <w:tcBorders>
              <w:top w:val="nil"/>
              <w:left w:val="nil"/>
              <w:bottom w:val="single" w:sz="4" w:space="0" w:color="auto"/>
              <w:right w:val="single" w:sz="4" w:space="0" w:color="auto"/>
            </w:tcBorders>
            <w:shd w:val="clear" w:color="000000" w:fill="FFFFFF"/>
            <w:hideMark/>
          </w:tcPr>
          <w:p w14:paraId="4609E34F"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-184.00</w:t>
            </w:r>
          </w:p>
        </w:tc>
        <w:tc>
          <w:tcPr>
            <w:tcW w:w="549" w:type="dxa"/>
            <w:tcBorders>
              <w:top w:val="nil"/>
              <w:left w:val="nil"/>
              <w:bottom w:val="single" w:sz="4" w:space="0" w:color="auto"/>
              <w:right w:val="single" w:sz="8" w:space="0" w:color="auto"/>
            </w:tcBorders>
            <w:shd w:val="clear" w:color="000000" w:fill="FFFFFF"/>
            <w:hideMark/>
          </w:tcPr>
          <w:p w14:paraId="04622F7C"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0.88</w:t>
            </w:r>
          </w:p>
        </w:tc>
      </w:tr>
      <w:tr w:rsidR="0003674A" w:rsidRPr="0003674A" w14:paraId="2419BDD2" w14:textId="77777777" w:rsidTr="00507134">
        <w:trPr>
          <w:trHeight w:val="288"/>
        </w:trPr>
        <w:tc>
          <w:tcPr>
            <w:tcW w:w="1199" w:type="dxa"/>
            <w:tcBorders>
              <w:top w:val="nil"/>
              <w:left w:val="single" w:sz="8" w:space="0" w:color="auto"/>
              <w:bottom w:val="single" w:sz="4" w:space="0" w:color="auto"/>
              <w:right w:val="single" w:sz="4" w:space="0" w:color="auto"/>
            </w:tcBorders>
            <w:shd w:val="clear" w:color="000000" w:fill="FFFFFF"/>
            <w:hideMark/>
          </w:tcPr>
          <w:p w14:paraId="193452A3"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Difference</w:t>
            </w:r>
          </w:p>
        </w:tc>
        <w:tc>
          <w:tcPr>
            <w:tcW w:w="1389" w:type="dxa"/>
            <w:tcBorders>
              <w:top w:val="nil"/>
              <w:left w:val="nil"/>
              <w:bottom w:val="single" w:sz="4" w:space="0" w:color="auto"/>
              <w:right w:val="single" w:sz="4" w:space="0" w:color="auto"/>
            </w:tcBorders>
            <w:shd w:val="clear" w:color="000000" w:fill="FFFFFF"/>
            <w:hideMark/>
          </w:tcPr>
          <w:p w14:paraId="075306CB"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1237" w:type="dxa"/>
            <w:tcBorders>
              <w:top w:val="nil"/>
              <w:left w:val="nil"/>
              <w:bottom w:val="single" w:sz="4" w:space="0" w:color="auto"/>
              <w:right w:val="single" w:sz="4" w:space="0" w:color="auto"/>
            </w:tcBorders>
            <w:shd w:val="clear" w:color="000000" w:fill="FFFFFF"/>
            <w:hideMark/>
          </w:tcPr>
          <w:p w14:paraId="1738497A"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266" w:type="dxa"/>
            <w:tcBorders>
              <w:top w:val="nil"/>
              <w:left w:val="nil"/>
              <w:bottom w:val="nil"/>
              <w:right w:val="nil"/>
            </w:tcBorders>
            <w:shd w:val="clear" w:color="auto" w:fill="auto"/>
            <w:noWrap/>
            <w:vAlign w:val="bottom"/>
            <w:hideMark/>
          </w:tcPr>
          <w:p w14:paraId="65679BD8"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p>
        </w:tc>
        <w:tc>
          <w:tcPr>
            <w:tcW w:w="266" w:type="dxa"/>
            <w:tcBorders>
              <w:top w:val="nil"/>
              <w:left w:val="nil"/>
              <w:bottom w:val="nil"/>
              <w:right w:val="nil"/>
            </w:tcBorders>
            <w:shd w:val="clear" w:color="auto" w:fill="auto"/>
            <w:noWrap/>
            <w:vAlign w:val="bottom"/>
            <w:hideMark/>
          </w:tcPr>
          <w:p w14:paraId="52D29518"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866" w:type="dxa"/>
            <w:tcBorders>
              <w:top w:val="nil"/>
              <w:left w:val="nil"/>
              <w:bottom w:val="nil"/>
              <w:right w:val="nil"/>
            </w:tcBorders>
            <w:shd w:val="clear" w:color="auto" w:fill="auto"/>
            <w:noWrap/>
            <w:vAlign w:val="bottom"/>
            <w:hideMark/>
          </w:tcPr>
          <w:p w14:paraId="73AE9B93"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68" w:type="dxa"/>
            <w:tcBorders>
              <w:top w:val="nil"/>
              <w:left w:val="nil"/>
              <w:bottom w:val="nil"/>
              <w:right w:val="nil"/>
            </w:tcBorders>
            <w:shd w:val="clear" w:color="auto" w:fill="auto"/>
            <w:noWrap/>
            <w:vAlign w:val="bottom"/>
            <w:hideMark/>
          </w:tcPr>
          <w:p w14:paraId="0C9338C9"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1440" w:type="dxa"/>
            <w:tcBorders>
              <w:top w:val="nil"/>
              <w:left w:val="nil"/>
              <w:bottom w:val="nil"/>
              <w:right w:val="nil"/>
            </w:tcBorders>
            <w:shd w:val="clear" w:color="auto" w:fill="auto"/>
            <w:noWrap/>
            <w:vAlign w:val="bottom"/>
            <w:hideMark/>
          </w:tcPr>
          <w:p w14:paraId="06F63D88" w14:textId="77777777" w:rsidR="002B7046" w:rsidRPr="0003674A" w:rsidRDefault="002B7046" w:rsidP="002B7046">
            <w:pPr>
              <w:spacing w:after="0" w:line="240" w:lineRule="auto"/>
              <w:rPr>
                <w:rFonts w:ascii="Times New Roman" w:eastAsia="Times New Roman" w:hAnsi="Times New Roman" w:cs="Times New Roman"/>
                <w:color w:val="000000" w:themeColor="text1"/>
                <w:sz w:val="20"/>
                <w:szCs w:val="20"/>
                <w:lang w:eastAsia="en-GB"/>
              </w:rPr>
            </w:pPr>
          </w:p>
        </w:tc>
        <w:tc>
          <w:tcPr>
            <w:tcW w:w="549" w:type="dxa"/>
            <w:tcBorders>
              <w:top w:val="nil"/>
              <w:left w:val="nil"/>
              <w:bottom w:val="nil"/>
              <w:right w:val="single" w:sz="8" w:space="0" w:color="auto"/>
            </w:tcBorders>
            <w:shd w:val="clear" w:color="auto" w:fill="auto"/>
            <w:noWrap/>
            <w:vAlign w:val="bottom"/>
            <w:hideMark/>
          </w:tcPr>
          <w:p w14:paraId="2FA33AF6"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r w:rsidR="0003674A" w:rsidRPr="0003674A" w14:paraId="3C7B97D8" w14:textId="77777777" w:rsidTr="00507134">
        <w:trPr>
          <w:trHeight w:val="300"/>
        </w:trPr>
        <w:tc>
          <w:tcPr>
            <w:tcW w:w="1199" w:type="dxa"/>
            <w:tcBorders>
              <w:top w:val="nil"/>
              <w:left w:val="single" w:sz="8" w:space="0" w:color="auto"/>
              <w:bottom w:val="single" w:sz="8" w:space="0" w:color="auto"/>
              <w:right w:val="single" w:sz="4" w:space="0" w:color="auto"/>
            </w:tcBorders>
            <w:shd w:val="clear" w:color="000000" w:fill="FFFFFF"/>
            <w:hideMark/>
          </w:tcPr>
          <w:p w14:paraId="0A93DB96" w14:textId="77777777" w:rsidR="002B7046" w:rsidRPr="0003674A" w:rsidRDefault="002B7046" w:rsidP="002B7046">
            <w:pPr>
              <w:spacing w:after="0" w:line="240" w:lineRule="auto"/>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Pay Gap %</w:t>
            </w:r>
          </w:p>
        </w:tc>
        <w:tc>
          <w:tcPr>
            <w:tcW w:w="1389" w:type="dxa"/>
            <w:tcBorders>
              <w:top w:val="nil"/>
              <w:left w:val="nil"/>
              <w:bottom w:val="single" w:sz="8" w:space="0" w:color="auto"/>
              <w:right w:val="single" w:sz="4" w:space="0" w:color="auto"/>
            </w:tcBorders>
            <w:shd w:val="clear" w:color="000000" w:fill="FFFFFF"/>
            <w:hideMark/>
          </w:tcPr>
          <w:p w14:paraId="655BC91B"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1237" w:type="dxa"/>
            <w:tcBorders>
              <w:top w:val="nil"/>
              <w:left w:val="nil"/>
              <w:bottom w:val="single" w:sz="8" w:space="0" w:color="auto"/>
              <w:right w:val="single" w:sz="4" w:space="0" w:color="auto"/>
            </w:tcBorders>
            <w:shd w:val="clear" w:color="000000" w:fill="FFFFFF"/>
            <w:hideMark/>
          </w:tcPr>
          <w:p w14:paraId="0D3EF2D1" w14:textId="77777777" w:rsidR="002B7046" w:rsidRPr="0003674A" w:rsidRDefault="002B7046" w:rsidP="002B7046">
            <w:pPr>
              <w:spacing w:after="0" w:line="240" w:lineRule="auto"/>
              <w:jc w:val="right"/>
              <w:rPr>
                <w:rFonts w:ascii="Calibri" w:eastAsia="Times New Roman" w:hAnsi="Calibri" w:cs="Calibri"/>
                <w:color w:val="000000" w:themeColor="text1"/>
                <w:sz w:val="16"/>
                <w:szCs w:val="16"/>
                <w:lang w:eastAsia="en-GB"/>
              </w:rPr>
            </w:pPr>
            <w:r w:rsidRPr="0003674A">
              <w:rPr>
                <w:rFonts w:ascii="Calibri" w:eastAsia="Times New Roman" w:hAnsi="Calibri" w:cs="Calibri"/>
                <w:color w:val="000000" w:themeColor="text1"/>
                <w:sz w:val="16"/>
                <w:szCs w:val="16"/>
                <w:lang w:eastAsia="en-GB"/>
              </w:rPr>
              <w:t>0.00</w:t>
            </w:r>
          </w:p>
        </w:tc>
        <w:tc>
          <w:tcPr>
            <w:tcW w:w="266" w:type="dxa"/>
            <w:tcBorders>
              <w:top w:val="nil"/>
              <w:left w:val="nil"/>
              <w:bottom w:val="single" w:sz="8" w:space="0" w:color="auto"/>
              <w:right w:val="nil"/>
            </w:tcBorders>
            <w:shd w:val="clear" w:color="auto" w:fill="auto"/>
            <w:noWrap/>
            <w:vAlign w:val="bottom"/>
            <w:hideMark/>
          </w:tcPr>
          <w:p w14:paraId="42F605E1"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266" w:type="dxa"/>
            <w:tcBorders>
              <w:top w:val="nil"/>
              <w:left w:val="nil"/>
              <w:bottom w:val="single" w:sz="8" w:space="0" w:color="auto"/>
              <w:right w:val="nil"/>
            </w:tcBorders>
            <w:shd w:val="clear" w:color="auto" w:fill="auto"/>
            <w:noWrap/>
            <w:vAlign w:val="bottom"/>
            <w:hideMark/>
          </w:tcPr>
          <w:p w14:paraId="734C6D4A"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866" w:type="dxa"/>
            <w:tcBorders>
              <w:top w:val="nil"/>
              <w:left w:val="nil"/>
              <w:bottom w:val="single" w:sz="8" w:space="0" w:color="auto"/>
              <w:right w:val="nil"/>
            </w:tcBorders>
            <w:shd w:val="clear" w:color="auto" w:fill="auto"/>
            <w:noWrap/>
            <w:vAlign w:val="bottom"/>
            <w:hideMark/>
          </w:tcPr>
          <w:p w14:paraId="5609A6F1"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468" w:type="dxa"/>
            <w:tcBorders>
              <w:top w:val="nil"/>
              <w:left w:val="nil"/>
              <w:bottom w:val="single" w:sz="8" w:space="0" w:color="auto"/>
              <w:right w:val="nil"/>
            </w:tcBorders>
            <w:shd w:val="clear" w:color="auto" w:fill="auto"/>
            <w:noWrap/>
            <w:vAlign w:val="bottom"/>
            <w:hideMark/>
          </w:tcPr>
          <w:p w14:paraId="4B565D84"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1440" w:type="dxa"/>
            <w:tcBorders>
              <w:top w:val="nil"/>
              <w:left w:val="nil"/>
              <w:bottom w:val="single" w:sz="8" w:space="0" w:color="auto"/>
              <w:right w:val="nil"/>
            </w:tcBorders>
            <w:shd w:val="clear" w:color="auto" w:fill="auto"/>
            <w:noWrap/>
            <w:vAlign w:val="bottom"/>
            <w:hideMark/>
          </w:tcPr>
          <w:p w14:paraId="4B4E755B"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c>
          <w:tcPr>
            <w:tcW w:w="549" w:type="dxa"/>
            <w:tcBorders>
              <w:top w:val="nil"/>
              <w:left w:val="nil"/>
              <w:bottom w:val="single" w:sz="8" w:space="0" w:color="auto"/>
              <w:right w:val="single" w:sz="8" w:space="0" w:color="auto"/>
            </w:tcBorders>
            <w:shd w:val="clear" w:color="auto" w:fill="auto"/>
            <w:noWrap/>
            <w:vAlign w:val="bottom"/>
            <w:hideMark/>
          </w:tcPr>
          <w:p w14:paraId="1BF90D2F" w14:textId="77777777" w:rsidR="002B7046" w:rsidRPr="0003674A" w:rsidRDefault="002B7046" w:rsidP="002B7046">
            <w:pPr>
              <w:spacing w:after="0" w:line="240" w:lineRule="auto"/>
              <w:rPr>
                <w:rFonts w:ascii="Calibri" w:eastAsia="Times New Roman" w:hAnsi="Calibri" w:cs="Calibri"/>
                <w:color w:val="000000" w:themeColor="text1"/>
                <w:lang w:eastAsia="en-GB"/>
              </w:rPr>
            </w:pPr>
            <w:r w:rsidRPr="0003674A">
              <w:rPr>
                <w:rFonts w:ascii="Calibri" w:eastAsia="Times New Roman" w:hAnsi="Calibri" w:cs="Calibri"/>
                <w:color w:val="000000" w:themeColor="text1"/>
                <w:lang w:eastAsia="en-GB"/>
              </w:rPr>
              <w:t> </w:t>
            </w:r>
          </w:p>
        </w:tc>
      </w:tr>
    </w:tbl>
    <w:p w14:paraId="3F82A306" w14:textId="77777777" w:rsidR="002B7046" w:rsidRPr="0003674A" w:rsidRDefault="002B7046" w:rsidP="002B7046">
      <w:pPr>
        <w:pStyle w:val="Default"/>
        <w:rPr>
          <w:b/>
          <w:bCs/>
          <w:color w:val="000000" w:themeColor="text1"/>
          <w:sz w:val="28"/>
          <w:szCs w:val="22"/>
        </w:rPr>
      </w:pPr>
    </w:p>
    <w:p w14:paraId="11B50290" w14:textId="77777777" w:rsidR="002B7046" w:rsidRDefault="002B7046" w:rsidP="002B7046">
      <w:pPr>
        <w:pStyle w:val="Default"/>
        <w:rPr>
          <w:b/>
          <w:bCs/>
          <w:color w:val="000000" w:themeColor="text1"/>
          <w:sz w:val="28"/>
          <w:szCs w:val="22"/>
        </w:rPr>
      </w:pPr>
    </w:p>
    <w:p w14:paraId="64506FFE" w14:textId="77777777" w:rsidR="00565D01" w:rsidRDefault="00565D01" w:rsidP="002B7046">
      <w:pPr>
        <w:pStyle w:val="Default"/>
        <w:rPr>
          <w:b/>
          <w:bCs/>
          <w:color w:val="000000" w:themeColor="text1"/>
          <w:sz w:val="28"/>
          <w:szCs w:val="22"/>
        </w:rPr>
      </w:pPr>
    </w:p>
    <w:p w14:paraId="7CE53DC9" w14:textId="172CCBE9" w:rsidR="00565D01" w:rsidRDefault="00565D01" w:rsidP="002B7046">
      <w:pPr>
        <w:pStyle w:val="Default"/>
        <w:rPr>
          <w:b/>
          <w:bCs/>
          <w:color w:val="000000" w:themeColor="text1"/>
          <w:sz w:val="28"/>
          <w:szCs w:val="22"/>
        </w:rPr>
      </w:pPr>
    </w:p>
    <w:p w14:paraId="2C97649D" w14:textId="77777777" w:rsidR="00747535" w:rsidRPr="0003674A" w:rsidRDefault="00747535" w:rsidP="002B7046">
      <w:pPr>
        <w:pStyle w:val="Default"/>
        <w:rPr>
          <w:b/>
          <w:bCs/>
          <w:color w:val="000000" w:themeColor="text1"/>
          <w:sz w:val="28"/>
          <w:szCs w:val="22"/>
        </w:rPr>
      </w:pPr>
    </w:p>
    <w:p w14:paraId="432A8223" w14:textId="77777777" w:rsidR="00012190" w:rsidRPr="00CF7782" w:rsidRDefault="00012190" w:rsidP="007C3DAB">
      <w:pPr>
        <w:pStyle w:val="Default"/>
        <w:numPr>
          <w:ilvl w:val="0"/>
          <w:numId w:val="10"/>
        </w:numPr>
        <w:ind w:hanging="720"/>
        <w:rPr>
          <w:b/>
          <w:bCs/>
          <w:sz w:val="28"/>
          <w:szCs w:val="22"/>
        </w:rPr>
      </w:pPr>
      <w:r w:rsidRPr="00CF7782">
        <w:rPr>
          <w:b/>
          <w:bCs/>
          <w:sz w:val="28"/>
          <w:szCs w:val="22"/>
        </w:rPr>
        <w:t xml:space="preserve">Narrative </w:t>
      </w:r>
    </w:p>
    <w:p w14:paraId="36562400" w14:textId="61F1A056" w:rsidR="001465C2" w:rsidRPr="0003674A" w:rsidRDefault="00507134" w:rsidP="00422879">
      <w:pPr>
        <w:pStyle w:val="Default"/>
        <w:numPr>
          <w:ilvl w:val="0"/>
          <w:numId w:val="6"/>
        </w:numPr>
        <w:spacing w:before="60" w:after="60"/>
        <w:ind w:left="709" w:hanging="709"/>
        <w:jc w:val="both"/>
        <w:rPr>
          <w:color w:val="000000" w:themeColor="text1"/>
          <w:sz w:val="22"/>
          <w:szCs w:val="22"/>
        </w:rPr>
      </w:pPr>
      <w:r>
        <w:rPr>
          <w:color w:val="000000" w:themeColor="text1"/>
          <w:sz w:val="22"/>
          <w:szCs w:val="22"/>
        </w:rPr>
        <w:lastRenderedPageBreak/>
        <w:t xml:space="preserve">When comparing 2020 to 2021 </w:t>
      </w:r>
      <w:r w:rsidR="00302A04" w:rsidRPr="0003674A">
        <w:rPr>
          <w:color w:val="000000" w:themeColor="text1"/>
          <w:sz w:val="22"/>
          <w:szCs w:val="22"/>
        </w:rPr>
        <w:t>there is no difference between male</w:t>
      </w:r>
      <w:r w:rsidR="001465C2" w:rsidRPr="0003674A">
        <w:rPr>
          <w:color w:val="000000" w:themeColor="text1"/>
          <w:sz w:val="22"/>
          <w:szCs w:val="22"/>
        </w:rPr>
        <w:t xml:space="preserve"> and female consultants</w:t>
      </w:r>
      <w:r w:rsidR="00302A04" w:rsidRPr="0003674A">
        <w:rPr>
          <w:color w:val="000000" w:themeColor="text1"/>
          <w:sz w:val="22"/>
          <w:szCs w:val="22"/>
        </w:rPr>
        <w:t xml:space="preserve"> who</w:t>
      </w:r>
      <w:r w:rsidR="001465C2" w:rsidRPr="0003674A">
        <w:rPr>
          <w:color w:val="000000" w:themeColor="text1"/>
          <w:sz w:val="22"/>
          <w:szCs w:val="22"/>
        </w:rPr>
        <w:t xml:space="preserve"> were in receipt of the C</w:t>
      </w:r>
      <w:r w:rsidR="00302A04" w:rsidRPr="0003674A">
        <w:rPr>
          <w:color w:val="000000" w:themeColor="text1"/>
          <w:sz w:val="22"/>
          <w:szCs w:val="22"/>
        </w:rPr>
        <w:t>linical Excellence Award</w:t>
      </w:r>
      <w:r>
        <w:rPr>
          <w:color w:val="000000" w:themeColor="text1"/>
          <w:sz w:val="22"/>
          <w:szCs w:val="22"/>
        </w:rPr>
        <w:t>.</w:t>
      </w:r>
      <w:r w:rsidR="001465C2" w:rsidRPr="0003674A">
        <w:rPr>
          <w:color w:val="000000" w:themeColor="text1"/>
          <w:sz w:val="22"/>
          <w:szCs w:val="22"/>
        </w:rPr>
        <w:t xml:space="preserve"> </w:t>
      </w:r>
    </w:p>
    <w:p w14:paraId="46A315BB" w14:textId="2FD7B237" w:rsidR="004B0EDB" w:rsidRPr="00507134" w:rsidRDefault="00012190" w:rsidP="004B0EDB">
      <w:pPr>
        <w:pStyle w:val="ListParagraph"/>
        <w:numPr>
          <w:ilvl w:val="0"/>
          <w:numId w:val="6"/>
        </w:numPr>
        <w:rPr>
          <w:rFonts w:ascii="Calibri" w:hAnsi="Calibri" w:cs="Calibri"/>
          <w:color w:val="000000" w:themeColor="text1"/>
        </w:rPr>
      </w:pPr>
      <w:r w:rsidRPr="00507134">
        <w:rPr>
          <w:color w:val="000000" w:themeColor="text1"/>
        </w:rPr>
        <w:t xml:space="preserve">Males </w:t>
      </w:r>
      <w:r w:rsidR="004B0EDB" w:rsidRPr="00507134">
        <w:rPr>
          <w:color w:val="000000" w:themeColor="text1"/>
        </w:rPr>
        <w:t>are m</w:t>
      </w:r>
      <w:r w:rsidR="0003674A" w:rsidRPr="00507134">
        <w:rPr>
          <w:color w:val="000000" w:themeColor="text1"/>
        </w:rPr>
        <w:t xml:space="preserve">ajority </w:t>
      </w:r>
      <w:r w:rsidR="004B0EDB" w:rsidRPr="00507134">
        <w:rPr>
          <w:color w:val="000000" w:themeColor="text1"/>
        </w:rPr>
        <w:t xml:space="preserve">of the </w:t>
      </w:r>
      <w:r w:rsidRPr="00507134">
        <w:rPr>
          <w:color w:val="000000" w:themeColor="text1"/>
        </w:rPr>
        <w:t>recipients o</w:t>
      </w:r>
      <w:r w:rsidR="00812CCD" w:rsidRPr="00507134">
        <w:rPr>
          <w:color w:val="000000" w:themeColor="text1"/>
        </w:rPr>
        <w:t xml:space="preserve">f Clinical Excellence Awards </w:t>
      </w:r>
      <w:r w:rsidR="00C76EF1" w:rsidRPr="00507134">
        <w:rPr>
          <w:color w:val="000000" w:themeColor="text1"/>
        </w:rPr>
        <w:t xml:space="preserve">which equate to </w:t>
      </w:r>
      <w:r w:rsidR="001465C2" w:rsidRPr="00507134">
        <w:rPr>
          <w:color w:val="000000" w:themeColor="text1"/>
        </w:rPr>
        <w:t>86</w:t>
      </w:r>
      <w:r w:rsidR="00812CCD" w:rsidRPr="00507134">
        <w:rPr>
          <w:color w:val="000000" w:themeColor="text1"/>
        </w:rPr>
        <w:t xml:space="preserve"> of </w:t>
      </w:r>
      <w:r w:rsidR="001465C2" w:rsidRPr="00507134">
        <w:rPr>
          <w:color w:val="000000" w:themeColor="text1"/>
        </w:rPr>
        <w:t xml:space="preserve">the 104 </w:t>
      </w:r>
      <w:r w:rsidR="00C76EF1" w:rsidRPr="00507134">
        <w:rPr>
          <w:color w:val="000000" w:themeColor="text1"/>
        </w:rPr>
        <w:t>awarded</w:t>
      </w:r>
      <w:r w:rsidRPr="00507134">
        <w:rPr>
          <w:color w:val="000000" w:themeColor="text1"/>
        </w:rPr>
        <w:t>. T</w:t>
      </w:r>
      <w:r w:rsidR="00812CCD" w:rsidRPr="00507134">
        <w:rPr>
          <w:color w:val="000000" w:themeColor="text1"/>
        </w:rPr>
        <w:t>hese bonuses are received by 6</w:t>
      </w:r>
      <w:r w:rsidRPr="00507134">
        <w:rPr>
          <w:color w:val="000000" w:themeColor="text1"/>
        </w:rPr>
        <w:t>% of all</w:t>
      </w:r>
      <w:r w:rsidR="00812CCD" w:rsidRPr="00507134">
        <w:rPr>
          <w:color w:val="000000" w:themeColor="text1"/>
        </w:rPr>
        <w:t xml:space="preserve"> males employed compared to 0.32</w:t>
      </w:r>
      <w:r w:rsidRPr="00507134">
        <w:rPr>
          <w:color w:val="000000" w:themeColor="text1"/>
        </w:rPr>
        <w:t xml:space="preserve">% of </w:t>
      </w:r>
      <w:r w:rsidR="001465C2" w:rsidRPr="00507134">
        <w:rPr>
          <w:color w:val="000000" w:themeColor="text1"/>
        </w:rPr>
        <w:t>females</w:t>
      </w:r>
      <w:r w:rsidRPr="00507134">
        <w:rPr>
          <w:color w:val="000000" w:themeColor="text1"/>
        </w:rPr>
        <w:t>. The bonus payments will have the impact of inflating the average salaries.</w:t>
      </w:r>
      <w:r w:rsidR="00625F12" w:rsidRPr="00507134">
        <w:rPr>
          <w:color w:val="000000" w:themeColor="text1"/>
        </w:rPr>
        <w:t xml:space="preserve"> Changes in 2018 mean that bonus payment</w:t>
      </w:r>
      <w:r w:rsidR="004B0EDB" w:rsidRPr="00507134">
        <w:rPr>
          <w:color w:val="000000" w:themeColor="text1"/>
        </w:rPr>
        <w:t xml:space="preserve">s are </w:t>
      </w:r>
      <w:r w:rsidR="00625F12" w:rsidRPr="00507134">
        <w:rPr>
          <w:color w:val="000000" w:themeColor="text1"/>
        </w:rPr>
        <w:t xml:space="preserve">non-pensionable and is a non-recurrent payment. </w:t>
      </w:r>
      <w:r w:rsidRPr="00507134">
        <w:rPr>
          <w:color w:val="000000" w:themeColor="text1"/>
        </w:rPr>
        <w:t xml:space="preserve"> </w:t>
      </w:r>
      <w:r w:rsidR="004B0EDB" w:rsidRPr="00507134">
        <w:rPr>
          <w:rFonts w:ascii="Calibri" w:hAnsi="Calibri" w:cs="Calibri"/>
          <w:color w:val="000000" w:themeColor="text1"/>
        </w:rPr>
        <w:t>There has been a national review of pay and reward system</w:t>
      </w:r>
      <w:r w:rsidR="0003674A" w:rsidRPr="00507134">
        <w:rPr>
          <w:rFonts w:ascii="Calibri" w:hAnsi="Calibri" w:cs="Calibri"/>
          <w:color w:val="000000" w:themeColor="text1"/>
        </w:rPr>
        <w:t xml:space="preserve"> a</w:t>
      </w:r>
      <w:r w:rsidR="00507134">
        <w:rPr>
          <w:rFonts w:ascii="Calibri" w:hAnsi="Calibri" w:cs="Calibri"/>
          <w:color w:val="000000" w:themeColor="text1"/>
        </w:rPr>
        <w:t>nd</w:t>
      </w:r>
      <w:r w:rsidR="0003674A" w:rsidRPr="00507134">
        <w:rPr>
          <w:rFonts w:ascii="Calibri" w:hAnsi="Calibri" w:cs="Calibri"/>
          <w:color w:val="000000" w:themeColor="text1"/>
        </w:rPr>
        <w:t xml:space="preserve"> we are </w:t>
      </w:r>
      <w:r w:rsidR="00507134">
        <w:rPr>
          <w:rFonts w:ascii="Calibri" w:hAnsi="Calibri" w:cs="Calibri"/>
          <w:color w:val="000000" w:themeColor="text1"/>
        </w:rPr>
        <w:t xml:space="preserve">currently </w:t>
      </w:r>
      <w:r w:rsidR="0003674A" w:rsidRPr="00507134">
        <w:rPr>
          <w:rFonts w:ascii="Calibri" w:hAnsi="Calibri" w:cs="Calibri"/>
          <w:color w:val="000000" w:themeColor="text1"/>
        </w:rPr>
        <w:t xml:space="preserve">awaiting new </w:t>
      </w:r>
      <w:r w:rsidR="00507134">
        <w:rPr>
          <w:rFonts w:ascii="Calibri" w:hAnsi="Calibri" w:cs="Calibri"/>
          <w:color w:val="000000" w:themeColor="text1"/>
        </w:rPr>
        <w:t xml:space="preserve">national </w:t>
      </w:r>
      <w:r w:rsidR="0003674A" w:rsidRPr="00507134">
        <w:rPr>
          <w:rFonts w:ascii="Calibri" w:hAnsi="Calibri" w:cs="Calibri"/>
          <w:color w:val="000000" w:themeColor="text1"/>
        </w:rPr>
        <w:t xml:space="preserve">guidance. </w:t>
      </w:r>
    </w:p>
    <w:p w14:paraId="5FF95D23" w14:textId="1B693568" w:rsidR="00463C73" w:rsidRPr="00507134" w:rsidRDefault="00676BF0" w:rsidP="00CF7782">
      <w:pPr>
        <w:pStyle w:val="Default"/>
        <w:numPr>
          <w:ilvl w:val="0"/>
          <w:numId w:val="6"/>
        </w:numPr>
        <w:spacing w:before="60" w:after="60"/>
        <w:ind w:left="709" w:hanging="709"/>
        <w:jc w:val="both"/>
        <w:rPr>
          <w:color w:val="000000" w:themeColor="text1"/>
          <w:sz w:val="22"/>
          <w:szCs w:val="22"/>
        </w:rPr>
      </w:pPr>
      <w:r w:rsidRPr="00507134">
        <w:rPr>
          <w:color w:val="000000" w:themeColor="text1"/>
          <w:sz w:val="22"/>
          <w:szCs w:val="22"/>
        </w:rPr>
        <w:t>There has</w:t>
      </w:r>
      <w:r w:rsidR="00DA4CD9" w:rsidRPr="00507134">
        <w:rPr>
          <w:color w:val="000000" w:themeColor="text1"/>
          <w:sz w:val="22"/>
          <w:szCs w:val="22"/>
        </w:rPr>
        <w:t xml:space="preserve"> been a</w:t>
      </w:r>
      <w:r w:rsidR="007B4E22" w:rsidRPr="00507134">
        <w:rPr>
          <w:color w:val="000000" w:themeColor="text1"/>
          <w:sz w:val="22"/>
          <w:szCs w:val="22"/>
        </w:rPr>
        <w:t xml:space="preserve"> </w:t>
      </w:r>
      <w:r w:rsidR="00302A04" w:rsidRPr="00507134">
        <w:rPr>
          <w:color w:val="000000" w:themeColor="text1"/>
          <w:sz w:val="22"/>
          <w:szCs w:val="22"/>
        </w:rPr>
        <w:t xml:space="preserve">slight </w:t>
      </w:r>
      <w:r w:rsidR="00463C73" w:rsidRPr="00507134">
        <w:rPr>
          <w:color w:val="000000" w:themeColor="text1"/>
          <w:sz w:val="22"/>
          <w:szCs w:val="22"/>
        </w:rPr>
        <w:t xml:space="preserve">narrowing of the </w:t>
      </w:r>
      <w:r w:rsidR="00012190" w:rsidRPr="00507134">
        <w:rPr>
          <w:color w:val="000000" w:themeColor="text1"/>
          <w:sz w:val="22"/>
          <w:szCs w:val="22"/>
        </w:rPr>
        <w:t xml:space="preserve">gender pay </w:t>
      </w:r>
      <w:r w:rsidR="00463C73" w:rsidRPr="00507134">
        <w:rPr>
          <w:color w:val="000000" w:themeColor="text1"/>
          <w:sz w:val="22"/>
          <w:szCs w:val="22"/>
        </w:rPr>
        <w:t xml:space="preserve">gap between </w:t>
      </w:r>
      <w:r w:rsidR="002D7021" w:rsidRPr="00507134">
        <w:rPr>
          <w:color w:val="000000" w:themeColor="text1"/>
          <w:sz w:val="22"/>
          <w:szCs w:val="22"/>
        </w:rPr>
        <w:t>male and female ave</w:t>
      </w:r>
      <w:r w:rsidR="00812CCD" w:rsidRPr="00507134">
        <w:rPr>
          <w:color w:val="000000" w:themeColor="text1"/>
          <w:sz w:val="22"/>
          <w:szCs w:val="22"/>
        </w:rPr>
        <w:t>rage hourly</w:t>
      </w:r>
      <w:r w:rsidR="00DA4CD9" w:rsidRPr="00507134">
        <w:rPr>
          <w:color w:val="000000" w:themeColor="text1"/>
          <w:sz w:val="22"/>
          <w:szCs w:val="22"/>
        </w:rPr>
        <w:t xml:space="preserve"> rate</w:t>
      </w:r>
      <w:r w:rsidR="00812CCD" w:rsidRPr="00507134">
        <w:rPr>
          <w:color w:val="000000" w:themeColor="text1"/>
          <w:sz w:val="22"/>
          <w:szCs w:val="22"/>
        </w:rPr>
        <w:t xml:space="preserve"> of </w:t>
      </w:r>
      <w:r w:rsidR="00302A04" w:rsidRPr="00507134">
        <w:rPr>
          <w:color w:val="000000" w:themeColor="text1"/>
          <w:sz w:val="22"/>
          <w:szCs w:val="22"/>
        </w:rPr>
        <w:t>-0.412</w:t>
      </w:r>
      <w:r w:rsidR="00625F12" w:rsidRPr="00507134">
        <w:rPr>
          <w:color w:val="000000" w:themeColor="text1"/>
          <w:sz w:val="22"/>
          <w:szCs w:val="22"/>
        </w:rPr>
        <w:t xml:space="preserve"> % </w:t>
      </w:r>
      <w:r w:rsidR="00812CCD" w:rsidRPr="00507134">
        <w:rPr>
          <w:color w:val="000000" w:themeColor="text1"/>
          <w:sz w:val="22"/>
          <w:szCs w:val="22"/>
        </w:rPr>
        <w:t>when</w:t>
      </w:r>
      <w:r w:rsidR="002D7021" w:rsidRPr="00507134">
        <w:rPr>
          <w:color w:val="000000" w:themeColor="text1"/>
          <w:sz w:val="22"/>
          <w:szCs w:val="22"/>
        </w:rPr>
        <w:t xml:space="preserve"> comparing </w:t>
      </w:r>
      <w:r w:rsidR="00F059F0" w:rsidRPr="00507134">
        <w:rPr>
          <w:color w:val="000000" w:themeColor="text1"/>
          <w:sz w:val="22"/>
          <w:szCs w:val="22"/>
        </w:rPr>
        <w:t>March 20</w:t>
      </w:r>
      <w:r w:rsidR="00012190" w:rsidRPr="00507134">
        <w:rPr>
          <w:color w:val="000000" w:themeColor="text1"/>
          <w:sz w:val="22"/>
          <w:szCs w:val="22"/>
        </w:rPr>
        <w:t xml:space="preserve"> to March </w:t>
      </w:r>
      <w:r w:rsidR="00F059F0" w:rsidRPr="00507134">
        <w:rPr>
          <w:color w:val="000000" w:themeColor="text1"/>
          <w:sz w:val="22"/>
          <w:szCs w:val="22"/>
        </w:rPr>
        <w:t>21</w:t>
      </w:r>
      <w:r w:rsidR="00012190" w:rsidRPr="00507134">
        <w:rPr>
          <w:color w:val="000000" w:themeColor="text1"/>
          <w:sz w:val="22"/>
          <w:szCs w:val="22"/>
        </w:rPr>
        <w:t>.</w:t>
      </w:r>
    </w:p>
    <w:p w14:paraId="7B442D63" w14:textId="2A16AFAC" w:rsidR="0014089A" w:rsidRPr="00507134" w:rsidRDefault="0014089A" w:rsidP="00CF7782">
      <w:pPr>
        <w:pStyle w:val="Default"/>
        <w:numPr>
          <w:ilvl w:val="0"/>
          <w:numId w:val="6"/>
        </w:numPr>
        <w:spacing w:before="60" w:after="60"/>
        <w:ind w:left="709" w:hanging="709"/>
        <w:jc w:val="both"/>
        <w:rPr>
          <w:color w:val="000000" w:themeColor="text1"/>
          <w:sz w:val="22"/>
          <w:szCs w:val="22"/>
        </w:rPr>
      </w:pPr>
      <w:r w:rsidRPr="00507134">
        <w:rPr>
          <w:color w:val="000000" w:themeColor="text1"/>
          <w:sz w:val="22"/>
          <w:szCs w:val="22"/>
        </w:rPr>
        <w:t xml:space="preserve">When comparing </w:t>
      </w:r>
      <w:r w:rsidR="008F7B55" w:rsidRPr="00507134">
        <w:rPr>
          <w:color w:val="000000" w:themeColor="text1"/>
          <w:sz w:val="22"/>
          <w:szCs w:val="22"/>
        </w:rPr>
        <w:t>the previous yea</w:t>
      </w:r>
      <w:r w:rsidR="008216DB" w:rsidRPr="00507134">
        <w:rPr>
          <w:color w:val="000000" w:themeColor="text1"/>
          <w:sz w:val="22"/>
          <w:szCs w:val="22"/>
        </w:rPr>
        <w:t>r</w:t>
      </w:r>
      <w:r w:rsidR="008F7B55" w:rsidRPr="00507134">
        <w:rPr>
          <w:color w:val="000000" w:themeColor="text1"/>
          <w:sz w:val="22"/>
          <w:szCs w:val="22"/>
        </w:rPr>
        <w:t xml:space="preserve"> to </w:t>
      </w:r>
      <w:r w:rsidR="00F059F0" w:rsidRPr="00507134">
        <w:rPr>
          <w:color w:val="000000" w:themeColor="text1"/>
          <w:sz w:val="22"/>
          <w:szCs w:val="22"/>
        </w:rPr>
        <w:t>2020</w:t>
      </w:r>
      <w:r w:rsidRPr="00507134">
        <w:rPr>
          <w:color w:val="000000" w:themeColor="text1"/>
          <w:sz w:val="22"/>
          <w:szCs w:val="22"/>
        </w:rPr>
        <w:t xml:space="preserve"> to 20</w:t>
      </w:r>
      <w:r w:rsidR="008F7B55" w:rsidRPr="00507134">
        <w:rPr>
          <w:color w:val="000000" w:themeColor="text1"/>
          <w:sz w:val="22"/>
          <w:szCs w:val="22"/>
        </w:rPr>
        <w:t>2</w:t>
      </w:r>
      <w:r w:rsidR="00F059F0" w:rsidRPr="00507134">
        <w:rPr>
          <w:color w:val="000000" w:themeColor="text1"/>
          <w:sz w:val="22"/>
          <w:szCs w:val="22"/>
        </w:rPr>
        <w:t>1</w:t>
      </w:r>
      <w:r w:rsidRPr="00507134">
        <w:rPr>
          <w:color w:val="000000" w:themeColor="text1"/>
          <w:sz w:val="22"/>
          <w:szCs w:val="22"/>
        </w:rPr>
        <w:t xml:space="preserve"> bonus payments</w:t>
      </w:r>
      <w:r w:rsidR="003D4962" w:rsidRPr="00507134">
        <w:rPr>
          <w:color w:val="000000" w:themeColor="text1"/>
          <w:sz w:val="22"/>
          <w:szCs w:val="22"/>
        </w:rPr>
        <w:t xml:space="preserve"> the gender pay gap </w:t>
      </w:r>
      <w:r w:rsidR="00302A04" w:rsidRPr="00507134">
        <w:rPr>
          <w:color w:val="000000" w:themeColor="text1"/>
          <w:sz w:val="22"/>
          <w:szCs w:val="22"/>
        </w:rPr>
        <w:t xml:space="preserve">is </w:t>
      </w:r>
      <w:r w:rsidR="0003674A" w:rsidRPr="00507134">
        <w:rPr>
          <w:color w:val="000000" w:themeColor="text1"/>
          <w:sz w:val="22"/>
          <w:szCs w:val="22"/>
        </w:rPr>
        <w:t>7.29</w:t>
      </w:r>
      <w:r w:rsidR="008216DB" w:rsidRPr="00507134">
        <w:rPr>
          <w:color w:val="000000" w:themeColor="text1"/>
          <w:sz w:val="22"/>
          <w:szCs w:val="22"/>
        </w:rPr>
        <w:t>%</w:t>
      </w:r>
      <w:r w:rsidR="00302A04" w:rsidRPr="00507134">
        <w:rPr>
          <w:color w:val="000000" w:themeColor="text1"/>
          <w:sz w:val="22"/>
          <w:szCs w:val="22"/>
        </w:rPr>
        <w:t xml:space="preserve"> which is the same as last year’s figure. </w:t>
      </w:r>
      <w:r w:rsidR="0092601B" w:rsidRPr="00507134">
        <w:rPr>
          <w:color w:val="000000" w:themeColor="text1"/>
          <w:sz w:val="22"/>
          <w:szCs w:val="22"/>
        </w:rPr>
        <w:t>However,</w:t>
      </w:r>
      <w:r w:rsidR="0003674A" w:rsidRPr="00507134">
        <w:rPr>
          <w:color w:val="000000" w:themeColor="text1"/>
          <w:sz w:val="22"/>
          <w:szCs w:val="22"/>
        </w:rPr>
        <w:t xml:space="preserve"> when looking at the trend data for </w:t>
      </w:r>
      <w:r w:rsidR="00934FCA" w:rsidRPr="00507134">
        <w:rPr>
          <w:color w:val="000000" w:themeColor="text1"/>
          <w:sz w:val="22"/>
          <w:szCs w:val="22"/>
        </w:rPr>
        <w:t>the bonus gender pay gap in 18/19 it was 10.45%</w:t>
      </w:r>
      <w:r w:rsidR="0003674A" w:rsidRPr="00507134">
        <w:rPr>
          <w:color w:val="000000" w:themeColor="text1"/>
          <w:sz w:val="22"/>
          <w:szCs w:val="22"/>
        </w:rPr>
        <w:t xml:space="preserve"> so we are seeing a gradual closing of the </w:t>
      </w:r>
      <w:r w:rsidR="0092601B" w:rsidRPr="00507134">
        <w:rPr>
          <w:color w:val="000000" w:themeColor="text1"/>
          <w:sz w:val="22"/>
          <w:szCs w:val="22"/>
        </w:rPr>
        <w:t>gap</w:t>
      </w:r>
      <w:r w:rsidR="00934FCA" w:rsidRPr="00507134">
        <w:rPr>
          <w:color w:val="000000" w:themeColor="text1"/>
          <w:sz w:val="22"/>
          <w:szCs w:val="22"/>
        </w:rPr>
        <w:t xml:space="preserve">. </w:t>
      </w:r>
      <w:r w:rsidR="00625F12" w:rsidRPr="00507134">
        <w:rPr>
          <w:color w:val="000000" w:themeColor="text1"/>
          <w:sz w:val="22"/>
          <w:szCs w:val="22"/>
        </w:rPr>
        <w:t>I</w:t>
      </w:r>
      <w:r w:rsidR="00934FCA" w:rsidRPr="00507134">
        <w:rPr>
          <w:color w:val="000000" w:themeColor="text1"/>
          <w:sz w:val="22"/>
          <w:szCs w:val="22"/>
        </w:rPr>
        <w:t xml:space="preserve">t is positive to report the gender pay gap between male and female bonus payments is narrowing and this is positive for female staff, equality of access and the retention and development of our talent irrespective of gender. </w:t>
      </w:r>
    </w:p>
    <w:p w14:paraId="018E30F8" w14:textId="77777777" w:rsidR="007D6280" w:rsidRDefault="007D6280" w:rsidP="004B595F">
      <w:pPr>
        <w:pStyle w:val="Default"/>
        <w:ind w:left="720"/>
        <w:jc w:val="both"/>
        <w:rPr>
          <w:sz w:val="22"/>
          <w:szCs w:val="22"/>
        </w:rPr>
      </w:pPr>
    </w:p>
    <w:p w14:paraId="76346044" w14:textId="77777777" w:rsidR="008216DB" w:rsidRPr="008216DB" w:rsidRDefault="00B1457B" w:rsidP="008216DB">
      <w:pPr>
        <w:pStyle w:val="Default"/>
        <w:spacing w:before="60" w:after="60"/>
        <w:jc w:val="both"/>
        <w:rPr>
          <w:color w:val="000000" w:themeColor="text1"/>
          <w:sz w:val="22"/>
          <w:szCs w:val="22"/>
        </w:rPr>
      </w:pPr>
      <w:r w:rsidRPr="008216DB">
        <w:rPr>
          <w:b/>
        </w:rPr>
        <w:t xml:space="preserve">GENDER PAY GAP ACTION PLAN </w:t>
      </w:r>
    </w:p>
    <w:p w14:paraId="14ACB9AA" w14:textId="0315ED89" w:rsidR="00B1457B" w:rsidRPr="00507134" w:rsidRDefault="00507134" w:rsidP="0092601B">
      <w:pPr>
        <w:pStyle w:val="ListParagraph"/>
        <w:numPr>
          <w:ilvl w:val="0"/>
          <w:numId w:val="6"/>
        </w:numPr>
        <w:rPr>
          <w:color w:val="000000" w:themeColor="text1"/>
        </w:rPr>
      </w:pPr>
      <w:r w:rsidRPr="00507134">
        <w:rPr>
          <w:color w:val="000000" w:themeColor="text1"/>
        </w:rPr>
        <w:t>As</w:t>
      </w:r>
      <w:r>
        <w:rPr>
          <w:color w:val="000000" w:themeColor="text1"/>
        </w:rPr>
        <w:t xml:space="preserve"> </w:t>
      </w:r>
      <w:r w:rsidRPr="00507134">
        <w:rPr>
          <w:color w:val="000000" w:themeColor="text1"/>
        </w:rPr>
        <w:t xml:space="preserve">a large employer we are keen to engender a culture of fairness and equity in terms </w:t>
      </w:r>
      <w:r>
        <w:rPr>
          <w:color w:val="000000" w:themeColor="text1"/>
        </w:rPr>
        <w:t xml:space="preserve">of inclusion and career progression. </w:t>
      </w:r>
      <w:r w:rsidRPr="00507134">
        <w:rPr>
          <w:color w:val="000000" w:themeColor="text1"/>
        </w:rPr>
        <w:t xml:space="preserve">Through our continued </w:t>
      </w:r>
      <w:r w:rsidR="00B1457B" w:rsidRPr="00507134">
        <w:rPr>
          <w:color w:val="000000" w:themeColor="text1"/>
        </w:rPr>
        <w:t xml:space="preserve">approaches to </w:t>
      </w:r>
      <w:r w:rsidR="008F7B55" w:rsidRPr="00507134">
        <w:rPr>
          <w:color w:val="000000" w:themeColor="text1"/>
        </w:rPr>
        <w:t xml:space="preserve">hybrid and </w:t>
      </w:r>
      <w:r w:rsidR="00B1457B" w:rsidRPr="00507134">
        <w:rPr>
          <w:color w:val="000000" w:themeColor="text1"/>
        </w:rPr>
        <w:t>agile</w:t>
      </w:r>
      <w:r w:rsidR="008F7B55" w:rsidRPr="00507134">
        <w:rPr>
          <w:color w:val="000000" w:themeColor="text1"/>
        </w:rPr>
        <w:t xml:space="preserve"> </w:t>
      </w:r>
      <w:r w:rsidR="00B1457B" w:rsidRPr="00507134">
        <w:rPr>
          <w:color w:val="000000" w:themeColor="text1"/>
        </w:rPr>
        <w:t xml:space="preserve">working practices we wish to ensure females </w:t>
      </w:r>
      <w:r w:rsidR="00C76EF1" w:rsidRPr="00507134">
        <w:rPr>
          <w:color w:val="000000" w:themeColor="text1"/>
        </w:rPr>
        <w:t>are supported</w:t>
      </w:r>
      <w:r w:rsidR="00B1457B" w:rsidRPr="00507134">
        <w:rPr>
          <w:color w:val="000000" w:themeColor="text1"/>
        </w:rPr>
        <w:t xml:space="preserve"> </w:t>
      </w:r>
      <w:r w:rsidR="008F7B55" w:rsidRPr="00507134">
        <w:rPr>
          <w:color w:val="000000" w:themeColor="text1"/>
        </w:rPr>
        <w:t xml:space="preserve">and given the opportunity </w:t>
      </w:r>
      <w:r w:rsidR="00B1457B" w:rsidRPr="00507134">
        <w:rPr>
          <w:color w:val="000000" w:themeColor="text1"/>
        </w:rPr>
        <w:t xml:space="preserve">to </w:t>
      </w:r>
      <w:r>
        <w:rPr>
          <w:color w:val="000000" w:themeColor="text1"/>
        </w:rPr>
        <w:t xml:space="preserve">balance careers and work-life to enable them to successfully achieve </w:t>
      </w:r>
      <w:r w:rsidR="00B1457B" w:rsidRPr="00507134">
        <w:rPr>
          <w:color w:val="000000" w:themeColor="text1"/>
        </w:rPr>
        <w:t>Consultant</w:t>
      </w:r>
      <w:r>
        <w:rPr>
          <w:color w:val="000000" w:themeColor="text1"/>
        </w:rPr>
        <w:t xml:space="preserve"> and s</w:t>
      </w:r>
      <w:r w:rsidR="00B1457B" w:rsidRPr="00507134">
        <w:rPr>
          <w:color w:val="000000" w:themeColor="text1"/>
        </w:rPr>
        <w:t>enior leaders</w:t>
      </w:r>
      <w:r w:rsidR="008216DB" w:rsidRPr="00507134">
        <w:rPr>
          <w:color w:val="000000" w:themeColor="text1"/>
        </w:rPr>
        <w:t>hip roles</w:t>
      </w:r>
      <w:r w:rsidR="00B1457B" w:rsidRPr="00507134">
        <w:rPr>
          <w:color w:val="000000" w:themeColor="text1"/>
        </w:rPr>
        <w:t xml:space="preserve">. </w:t>
      </w:r>
    </w:p>
    <w:p w14:paraId="2D6D6CBC" w14:textId="77777777" w:rsidR="008056F5" w:rsidRDefault="008F7B55" w:rsidP="0092601B">
      <w:pPr>
        <w:pStyle w:val="ListParagraph"/>
        <w:numPr>
          <w:ilvl w:val="0"/>
          <w:numId w:val="6"/>
        </w:numPr>
        <w:rPr>
          <w:color w:val="000000" w:themeColor="text1"/>
        </w:rPr>
      </w:pPr>
      <w:r w:rsidRPr="007B78ED">
        <w:rPr>
          <w:color w:val="000000" w:themeColor="text1"/>
        </w:rPr>
        <w:t xml:space="preserve">The Trust continues to </w:t>
      </w:r>
      <w:r w:rsidR="00B1457B" w:rsidRPr="007B78ED">
        <w:rPr>
          <w:color w:val="000000" w:themeColor="text1"/>
        </w:rPr>
        <w:t>actively participat</w:t>
      </w:r>
      <w:r w:rsidRPr="007B78ED">
        <w:rPr>
          <w:color w:val="000000" w:themeColor="text1"/>
        </w:rPr>
        <w:t>e</w:t>
      </w:r>
      <w:r w:rsidR="00B1457B" w:rsidRPr="007B78ED">
        <w:rPr>
          <w:color w:val="000000" w:themeColor="text1"/>
        </w:rPr>
        <w:t xml:space="preserve"> in the national work reviewing reasons for disparity in the achievement of Clinical Excellence Awards.</w:t>
      </w:r>
    </w:p>
    <w:p w14:paraId="3FB3713E" w14:textId="12A229B7" w:rsidR="008056F5" w:rsidRPr="007B78ED" w:rsidRDefault="008056F5" w:rsidP="008056F5">
      <w:pPr>
        <w:pStyle w:val="Default"/>
        <w:numPr>
          <w:ilvl w:val="0"/>
          <w:numId w:val="6"/>
        </w:numPr>
        <w:spacing w:before="60" w:after="60"/>
        <w:jc w:val="both"/>
        <w:rPr>
          <w:color w:val="000000" w:themeColor="text1"/>
          <w:sz w:val="22"/>
          <w:szCs w:val="22"/>
        </w:rPr>
      </w:pPr>
      <w:r w:rsidRPr="007B78ED">
        <w:rPr>
          <w:color w:val="000000" w:themeColor="text1"/>
          <w:sz w:val="22"/>
          <w:szCs w:val="22"/>
        </w:rPr>
        <w:t>The full staff survey results and staff engagement outputs are used to shape and inform plans, and policies to empower the female workforce.</w:t>
      </w:r>
    </w:p>
    <w:p w14:paraId="620C2A18" w14:textId="1C02DD48" w:rsidR="008056F5" w:rsidRPr="003D4962" w:rsidRDefault="008056F5" w:rsidP="008056F5">
      <w:pPr>
        <w:pStyle w:val="Default"/>
        <w:numPr>
          <w:ilvl w:val="0"/>
          <w:numId w:val="6"/>
        </w:numPr>
        <w:spacing w:before="60" w:after="60"/>
        <w:jc w:val="both"/>
        <w:rPr>
          <w:color w:val="000000" w:themeColor="text1"/>
          <w:sz w:val="22"/>
          <w:szCs w:val="22"/>
        </w:rPr>
      </w:pPr>
      <w:r w:rsidRPr="003D4962">
        <w:rPr>
          <w:color w:val="000000" w:themeColor="text1"/>
          <w:sz w:val="22"/>
          <w:szCs w:val="22"/>
        </w:rPr>
        <w:t xml:space="preserve">The </w:t>
      </w:r>
      <w:r>
        <w:rPr>
          <w:color w:val="000000" w:themeColor="text1"/>
          <w:sz w:val="22"/>
          <w:szCs w:val="22"/>
        </w:rPr>
        <w:t xml:space="preserve">introduction of the Reciprocal Mentoring Programme is designed to engender a culture of shared learning and experience to develop </w:t>
      </w:r>
      <w:r w:rsidR="00747535">
        <w:rPr>
          <w:color w:val="000000" w:themeColor="text1"/>
          <w:sz w:val="22"/>
          <w:szCs w:val="22"/>
        </w:rPr>
        <w:t>t</w:t>
      </w:r>
      <w:r>
        <w:rPr>
          <w:color w:val="000000" w:themeColor="text1"/>
          <w:sz w:val="22"/>
          <w:szCs w:val="22"/>
        </w:rPr>
        <w:t xml:space="preserve">alent of all genders. </w:t>
      </w:r>
      <w:r w:rsidRPr="003D4962">
        <w:rPr>
          <w:color w:val="000000" w:themeColor="text1"/>
          <w:sz w:val="22"/>
          <w:szCs w:val="22"/>
        </w:rPr>
        <w:t xml:space="preserve"> </w:t>
      </w:r>
    </w:p>
    <w:p w14:paraId="6072D629" w14:textId="694FCEFB" w:rsidR="007B78ED" w:rsidRPr="008056F5" w:rsidRDefault="008056F5" w:rsidP="008056F5">
      <w:pPr>
        <w:ind w:left="360"/>
        <w:rPr>
          <w:color w:val="000000" w:themeColor="text1"/>
        </w:rPr>
      </w:pPr>
      <w:r w:rsidRPr="008056F5">
        <w:rPr>
          <w:color w:val="000000" w:themeColor="text1"/>
        </w:rPr>
        <w:t xml:space="preserve">  </w:t>
      </w:r>
      <w:r w:rsidR="00B1457B" w:rsidRPr="008056F5">
        <w:rPr>
          <w:color w:val="000000" w:themeColor="text1"/>
        </w:rPr>
        <w:t xml:space="preserve"> </w:t>
      </w:r>
    </w:p>
    <w:sectPr w:rsidR="007B78ED" w:rsidRPr="008056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3C30" w14:textId="77777777" w:rsidR="00CC37EB" w:rsidRDefault="00CC37EB" w:rsidP="00B1457B">
      <w:pPr>
        <w:spacing w:after="0" w:line="240" w:lineRule="auto"/>
      </w:pPr>
      <w:r>
        <w:separator/>
      </w:r>
    </w:p>
  </w:endnote>
  <w:endnote w:type="continuationSeparator" w:id="0">
    <w:p w14:paraId="1D88840D" w14:textId="77777777" w:rsidR="00CC37EB" w:rsidRDefault="00CC37EB" w:rsidP="00B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0F37" w14:textId="77777777" w:rsidR="00CC37EB" w:rsidRDefault="00CC37EB" w:rsidP="007C3DAB">
    <w:pPr>
      <w:pStyle w:val="Footer"/>
      <w:jc w:val="cente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96787">
      <w:rPr>
        <w:caps/>
        <w:noProof/>
        <w:color w:val="4F81BD" w:themeColor="accent1"/>
      </w:rPr>
      <w:t>6</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53FD" w14:textId="77777777" w:rsidR="00CC37EB" w:rsidRDefault="00CC37EB" w:rsidP="00B1457B">
      <w:pPr>
        <w:spacing w:after="0" w:line="240" w:lineRule="auto"/>
      </w:pPr>
      <w:r>
        <w:separator/>
      </w:r>
    </w:p>
  </w:footnote>
  <w:footnote w:type="continuationSeparator" w:id="0">
    <w:p w14:paraId="03774FBE" w14:textId="77777777" w:rsidR="00CC37EB" w:rsidRDefault="00CC37EB" w:rsidP="00B14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1F"/>
    <w:multiLevelType w:val="hybridMultilevel"/>
    <w:tmpl w:val="F5C8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9FB"/>
    <w:multiLevelType w:val="hybridMultilevel"/>
    <w:tmpl w:val="1718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67CAF"/>
    <w:multiLevelType w:val="hybridMultilevel"/>
    <w:tmpl w:val="28F8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519F7"/>
    <w:multiLevelType w:val="hybridMultilevel"/>
    <w:tmpl w:val="58D4205C"/>
    <w:lvl w:ilvl="0" w:tplc="E83604F4">
      <w:start w:val="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B2D6A"/>
    <w:multiLevelType w:val="hybridMultilevel"/>
    <w:tmpl w:val="EFA0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444E0"/>
    <w:multiLevelType w:val="hybridMultilevel"/>
    <w:tmpl w:val="34EA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E6721"/>
    <w:multiLevelType w:val="hybridMultilevel"/>
    <w:tmpl w:val="6696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E144F"/>
    <w:multiLevelType w:val="hybridMultilevel"/>
    <w:tmpl w:val="9040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1303F"/>
    <w:multiLevelType w:val="hybridMultilevel"/>
    <w:tmpl w:val="B1545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7F7D02"/>
    <w:multiLevelType w:val="hybridMultilevel"/>
    <w:tmpl w:val="35B8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D47A6"/>
    <w:multiLevelType w:val="hybridMultilevel"/>
    <w:tmpl w:val="41DC08EC"/>
    <w:lvl w:ilvl="0" w:tplc="32E000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80"/>
    <w:rsid w:val="00000178"/>
    <w:rsid w:val="00012190"/>
    <w:rsid w:val="00014C9C"/>
    <w:rsid w:val="0003674A"/>
    <w:rsid w:val="00075A41"/>
    <w:rsid w:val="000A5F95"/>
    <w:rsid w:val="001222D4"/>
    <w:rsid w:val="0014089A"/>
    <w:rsid w:val="001465C2"/>
    <w:rsid w:val="001D37BA"/>
    <w:rsid w:val="001D73B7"/>
    <w:rsid w:val="001F3080"/>
    <w:rsid w:val="0023382C"/>
    <w:rsid w:val="0024516C"/>
    <w:rsid w:val="00291A38"/>
    <w:rsid w:val="002B102A"/>
    <w:rsid w:val="002B3697"/>
    <w:rsid w:val="002B7046"/>
    <w:rsid w:val="002D7021"/>
    <w:rsid w:val="002D71A6"/>
    <w:rsid w:val="00302A04"/>
    <w:rsid w:val="00305CD6"/>
    <w:rsid w:val="00322BFE"/>
    <w:rsid w:val="003612CE"/>
    <w:rsid w:val="00387404"/>
    <w:rsid w:val="00396240"/>
    <w:rsid w:val="00396787"/>
    <w:rsid w:val="003B0FC5"/>
    <w:rsid w:val="003B191D"/>
    <w:rsid w:val="003D4962"/>
    <w:rsid w:val="003F1223"/>
    <w:rsid w:val="00432236"/>
    <w:rsid w:val="00443182"/>
    <w:rsid w:val="00463C73"/>
    <w:rsid w:val="004A3112"/>
    <w:rsid w:val="004B0EDB"/>
    <w:rsid w:val="004B595F"/>
    <w:rsid w:val="004D6993"/>
    <w:rsid w:val="004F2479"/>
    <w:rsid w:val="00502CAE"/>
    <w:rsid w:val="00507134"/>
    <w:rsid w:val="00512EB1"/>
    <w:rsid w:val="00543BB6"/>
    <w:rsid w:val="00550BA5"/>
    <w:rsid w:val="005561B5"/>
    <w:rsid w:val="0055646E"/>
    <w:rsid w:val="00560D42"/>
    <w:rsid w:val="00565D01"/>
    <w:rsid w:val="00575FE8"/>
    <w:rsid w:val="005B50F0"/>
    <w:rsid w:val="005D7C80"/>
    <w:rsid w:val="005F60FC"/>
    <w:rsid w:val="00620207"/>
    <w:rsid w:val="0062087A"/>
    <w:rsid w:val="006217AB"/>
    <w:rsid w:val="00625F12"/>
    <w:rsid w:val="0063020B"/>
    <w:rsid w:val="006534C6"/>
    <w:rsid w:val="00661123"/>
    <w:rsid w:val="00676BF0"/>
    <w:rsid w:val="006823EB"/>
    <w:rsid w:val="006839A4"/>
    <w:rsid w:val="006B2347"/>
    <w:rsid w:val="006F68EF"/>
    <w:rsid w:val="00713389"/>
    <w:rsid w:val="00717440"/>
    <w:rsid w:val="00730DCB"/>
    <w:rsid w:val="00741534"/>
    <w:rsid w:val="00747535"/>
    <w:rsid w:val="00752924"/>
    <w:rsid w:val="00763843"/>
    <w:rsid w:val="00774A63"/>
    <w:rsid w:val="007B4E22"/>
    <w:rsid w:val="007B78ED"/>
    <w:rsid w:val="007C02A2"/>
    <w:rsid w:val="007C3DAB"/>
    <w:rsid w:val="007D0C2B"/>
    <w:rsid w:val="007D6280"/>
    <w:rsid w:val="007E4790"/>
    <w:rsid w:val="007F35A0"/>
    <w:rsid w:val="008056F5"/>
    <w:rsid w:val="00812CCD"/>
    <w:rsid w:val="008216DB"/>
    <w:rsid w:val="00831294"/>
    <w:rsid w:val="00896D18"/>
    <w:rsid w:val="008D1F5D"/>
    <w:rsid w:val="008E7446"/>
    <w:rsid w:val="008F7B55"/>
    <w:rsid w:val="0092601B"/>
    <w:rsid w:val="00934FCA"/>
    <w:rsid w:val="00944805"/>
    <w:rsid w:val="009472F6"/>
    <w:rsid w:val="00960C67"/>
    <w:rsid w:val="009A4E82"/>
    <w:rsid w:val="009B1396"/>
    <w:rsid w:val="009B24C8"/>
    <w:rsid w:val="009C6A1C"/>
    <w:rsid w:val="009D4EE9"/>
    <w:rsid w:val="009F11CC"/>
    <w:rsid w:val="00A0449A"/>
    <w:rsid w:val="00A04CF9"/>
    <w:rsid w:val="00A523C4"/>
    <w:rsid w:val="00A809F5"/>
    <w:rsid w:val="00A84D79"/>
    <w:rsid w:val="00AB2CA6"/>
    <w:rsid w:val="00AB4C4B"/>
    <w:rsid w:val="00AD3927"/>
    <w:rsid w:val="00AD4436"/>
    <w:rsid w:val="00B1411D"/>
    <w:rsid w:val="00B1457B"/>
    <w:rsid w:val="00B14E4D"/>
    <w:rsid w:val="00B22A14"/>
    <w:rsid w:val="00B54657"/>
    <w:rsid w:val="00B600B9"/>
    <w:rsid w:val="00B67022"/>
    <w:rsid w:val="00B855A3"/>
    <w:rsid w:val="00BA6B4A"/>
    <w:rsid w:val="00BD264C"/>
    <w:rsid w:val="00BE0203"/>
    <w:rsid w:val="00BE1E4C"/>
    <w:rsid w:val="00BE2D24"/>
    <w:rsid w:val="00C172C6"/>
    <w:rsid w:val="00C3143A"/>
    <w:rsid w:val="00C32127"/>
    <w:rsid w:val="00C56143"/>
    <w:rsid w:val="00C6357D"/>
    <w:rsid w:val="00C76EF1"/>
    <w:rsid w:val="00C926CF"/>
    <w:rsid w:val="00CA42F4"/>
    <w:rsid w:val="00CC37EB"/>
    <w:rsid w:val="00CF3769"/>
    <w:rsid w:val="00CF7782"/>
    <w:rsid w:val="00D32911"/>
    <w:rsid w:val="00D43DC0"/>
    <w:rsid w:val="00D4700D"/>
    <w:rsid w:val="00D47C22"/>
    <w:rsid w:val="00D555EC"/>
    <w:rsid w:val="00D610D0"/>
    <w:rsid w:val="00D655A6"/>
    <w:rsid w:val="00DA4CD9"/>
    <w:rsid w:val="00DB27DB"/>
    <w:rsid w:val="00DB55A3"/>
    <w:rsid w:val="00DB76DE"/>
    <w:rsid w:val="00DE46E7"/>
    <w:rsid w:val="00DF3120"/>
    <w:rsid w:val="00E01E59"/>
    <w:rsid w:val="00E020E1"/>
    <w:rsid w:val="00E3218A"/>
    <w:rsid w:val="00E41DC6"/>
    <w:rsid w:val="00E55112"/>
    <w:rsid w:val="00E949B6"/>
    <w:rsid w:val="00EC1CC9"/>
    <w:rsid w:val="00EC2228"/>
    <w:rsid w:val="00EC3833"/>
    <w:rsid w:val="00EC7BE9"/>
    <w:rsid w:val="00ED1940"/>
    <w:rsid w:val="00ED3004"/>
    <w:rsid w:val="00EE2617"/>
    <w:rsid w:val="00EE6DD2"/>
    <w:rsid w:val="00F059F0"/>
    <w:rsid w:val="00F273E1"/>
    <w:rsid w:val="00F30751"/>
    <w:rsid w:val="00F32625"/>
    <w:rsid w:val="00F54A64"/>
    <w:rsid w:val="00FB1656"/>
    <w:rsid w:val="00FB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802"/>
  <w15:docId w15:val="{0E0B7194-BF12-4E36-8824-BA85C20A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28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F6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FC"/>
    <w:rPr>
      <w:rFonts w:ascii="Segoe UI" w:hAnsi="Segoe UI" w:cs="Segoe UI"/>
      <w:sz w:val="18"/>
      <w:szCs w:val="18"/>
    </w:rPr>
  </w:style>
  <w:style w:type="paragraph" w:styleId="ListParagraph">
    <w:name w:val="List Paragraph"/>
    <w:basedOn w:val="Normal"/>
    <w:uiPriority w:val="34"/>
    <w:qFormat/>
    <w:rsid w:val="00012190"/>
    <w:pPr>
      <w:ind w:left="720"/>
      <w:contextualSpacing/>
    </w:pPr>
  </w:style>
  <w:style w:type="paragraph" w:styleId="Header">
    <w:name w:val="header"/>
    <w:basedOn w:val="Normal"/>
    <w:link w:val="HeaderChar"/>
    <w:uiPriority w:val="99"/>
    <w:unhideWhenUsed/>
    <w:rsid w:val="00B14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57B"/>
  </w:style>
  <w:style w:type="paragraph" w:styleId="Footer">
    <w:name w:val="footer"/>
    <w:basedOn w:val="Normal"/>
    <w:link w:val="FooterChar"/>
    <w:uiPriority w:val="99"/>
    <w:unhideWhenUsed/>
    <w:rsid w:val="00B14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986">
      <w:bodyDiv w:val="1"/>
      <w:marLeft w:val="0"/>
      <w:marRight w:val="0"/>
      <w:marTop w:val="0"/>
      <w:marBottom w:val="0"/>
      <w:divBdr>
        <w:top w:val="none" w:sz="0" w:space="0" w:color="auto"/>
        <w:left w:val="none" w:sz="0" w:space="0" w:color="auto"/>
        <w:bottom w:val="none" w:sz="0" w:space="0" w:color="auto"/>
        <w:right w:val="none" w:sz="0" w:space="0" w:color="auto"/>
      </w:divBdr>
    </w:div>
    <w:div w:id="146828855">
      <w:bodyDiv w:val="1"/>
      <w:marLeft w:val="0"/>
      <w:marRight w:val="0"/>
      <w:marTop w:val="0"/>
      <w:marBottom w:val="0"/>
      <w:divBdr>
        <w:top w:val="none" w:sz="0" w:space="0" w:color="auto"/>
        <w:left w:val="none" w:sz="0" w:space="0" w:color="auto"/>
        <w:bottom w:val="none" w:sz="0" w:space="0" w:color="auto"/>
        <w:right w:val="none" w:sz="0" w:space="0" w:color="auto"/>
      </w:divBdr>
    </w:div>
    <w:div w:id="278536069">
      <w:bodyDiv w:val="1"/>
      <w:marLeft w:val="0"/>
      <w:marRight w:val="0"/>
      <w:marTop w:val="0"/>
      <w:marBottom w:val="0"/>
      <w:divBdr>
        <w:top w:val="none" w:sz="0" w:space="0" w:color="auto"/>
        <w:left w:val="none" w:sz="0" w:space="0" w:color="auto"/>
        <w:bottom w:val="none" w:sz="0" w:space="0" w:color="auto"/>
        <w:right w:val="none" w:sz="0" w:space="0" w:color="auto"/>
      </w:divBdr>
    </w:div>
    <w:div w:id="302538574">
      <w:bodyDiv w:val="1"/>
      <w:marLeft w:val="0"/>
      <w:marRight w:val="0"/>
      <w:marTop w:val="0"/>
      <w:marBottom w:val="0"/>
      <w:divBdr>
        <w:top w:val="none" w:sz="0" w:space="0" w:color="auto"/>
        <w:left w:val="none" w:sz="0" w:space="0" w:color="auto"/>
        <w:bottom w:val="none" w:sz="0" w:space="0" w:color="auto"/>
        <w:right w:val="none" w:sz="0" w:space="0" w:color="auto"/>
      </w:divBdr>
    </w:div>
    <w:div w:id="454448354">
      <w:bodyDiv w:val="1"/>
      <w:marLeft w:val="0"/>
      <w:marRight w:val="0"/>
      <w:marTop w:val="0"/>
      <w:marBottom w:val="0"/>
      <w:divBdr>
        <w:top w:val="none" w:sz="0" w:space="0" w:color="auto"/>
        <w:left w:val="none" w:sz="0" w:space="0" w:color="auto"/>
        <w:bottom w:val="none" w:sz="0" w:space="0" w:color="auto"/>
        <w:right w:val="none" w:sz="0" w:space="0" w:color="auto"/>
      </w:divBdr>
    </w:div>
    <w:div w:id="506361419">
      <w:bodyDiv w:val="1"/>
      <w:marLeft w:val="0"/>
      <w:marRight w:val="0"/>
      <w:marTop w:val="0"/>
      <w:marBottom w:val="0"/>
      <w:divBdr>
        <w:top w:val="none" w:sz="0" w:space="0" w:color="auto"/>
        <w:left w:val="none" w:sz="0" w:space="0" w:color="auto"/>
        <w:bottom w:val="none" w:sz="0" w:space="0" w:color="auto"/>
        <w:right w:val="none" w:sz="0" w:space="0" w:color="auto"/>
      </w:divBdr>
    </w:div>
    <w:div w:id="510224394">
      <w:bodyDiv w:val="1"/>
      <w:marLeft w:val="0"/>
      <w:marRight w:val="0"/>
      <w:marTop w:val="0"/>
      <w:marBottom w:val="0"/>
      <w:divBdr>
        <w:top w:val="none" w:sz="0" w:space="0" w:color="auto"/>
        <w:left w:val="none" w:sz="0" w:space="0" w:color="auto"/>
        <w:bottom w:val="none" w:sz="0" w:space="0" w:color="auto"/>
        <w:right w:val="none" w:sz="0" w:space="0" w:color="auto"/>
      </w:divBdr>
    </w:div>
    <w:div w:id="541594386">
      <w:bodyDiv w:val="1"/>
      <w:marLeft w:val="0"/>
      <w:marRight w:val="0"/>
      <w:marTop w:val="0"/>
      <w:marBottom w:val="0"/>
      <w:divBdr>
        <w:top w:val="none" w:sz="0" w:space="0" w:color="auto"/>
        <w:left w:val="none" w:sz="0" w:space="0" w:color="auto"/>
        <w:bottom w:val="none" w:sz="0" w:space="0" w:color="auto"/>
        <w:right w:val="none" w:sz="0" w:space="0" w:color="auto"/>
      </w:divBdr>
    </w:div>
    <w:div w:id="555893401">
      <w:bodyDiv w:val="1"/>
      <w:marLeft w:val="0"/>
      <w:marRight w:val="0"/>
      <w:marTop w:val="0"/>
      <w:marBottom w:val="0"/>
      <w:divBdr>
        <w:top w:val="none" w:sz="0" w:space="0" w:color="auto"/>
        <w:left w:val="none" w:sz="0" w:space="0" w:color="auto"/>
        <w:bottom w:val="none" w:sz="0" w:space="0" w:color="auto"/>
        <w:right w:val="none" w:sz="0" w:space="0" w:color="auto"/>
      </w:divBdr>
    </w:div>
    <w:div w:id="610744892">
      <w:bodyDiv w:val="1"/>
      <w:marLeft w:val="0"/>
      <w:marRight w:val="0"/>
      <w:marTop w:val="0"/>
      <w:marBottom w:val="0"/>
      <w:divBdr>
        <w:top w:val="none" w:sz="0" w:space="0" w:color="auto"/>
        <w:left w:val="none" w:sz="0" w:space="0" w:color="auto"/>
        <w:bottom w:val="none" w:sz="0" w:space="0" w:color="auto"/>
        <w:right w:val="none" w:sz="0" w:space="0" w:color="auto"/>
      </w:divBdr>
    </w:div>
    <w:div w:id="677118120">
      <w:bodyDiv w:val="1"/>
      <w:marLeft w:val="0"/>
      <w:marRight w:val="0"/>
      <w:marTop w:val="0"/>
      <w:marBottom w:val="0"/>
      <w:divBdr>
        <w:top w:val="none" w:sz="0" w:space="0" w:color="auto"/>
        <w:left w:val="none" w:sz="0" w:space="0" w:color="auto"/>
        <w:bottom w:val="none" w:sz="0" w:space="0" w:color="auto"/>
        <w:right w:val="none" w:sz="0" w:space="0" w:color="auto"/>
      </w:divBdr>
    </w:div>
    <w:div w:id="684477386">
      <w:bodyDiv w:val="1"/>
      <w:marLeft w:val="0"/>
      <w:marRight w:val="0"/>
      <w:marTop w:val="0"/>
      <w:marBottom w:val="0"/>
      <w:divBdr>
        <w:top w:val="none" w:sz="0" w:space="0" w:color="auto"/>
        <w:left w:val="none" w:sz="0" w:space="0" w:color="auto"/>
        <w:bottom w:val="none" w:sz="0" w:space="0" w:color="auto"/>
        <w:right w:val="none" w:sz="0" w:space="0" w:color="auto"/>
      </w:divBdr>
    </w:div>
    <w:div w:id="684862954">
      <w:bodyDiv w:val="1"/>
      <w:marLeft w:val="0"/>
      <w:marRight w:val="0"/>
      <w:marTop w:val="0"/>
      <w:marBottom w:val="0"/>
      <w:divBdr>
        <w:top w:val="none" w:sz="0" w:space="0" w:color="auto"/>
        <w:left w:val="none" w:sz="0" w:space="0" w:color="auto"/>
        <w:bottom w:val="none" w:sz="0" w:space="0" w:color="auto"/>
        <w:right w:val="none" w:sz="0" w:space="0" w:color="auto"/>
      </w:divBdr>
    </w:div>
    <w:div w:id="710809369">
      <w:bodyDiv w:val="1"/>
      <w:marLeft w:val="0"/>
      <w:marRight w:val="0"/>
      <w:marTop w:val="0"/>
      <w:marBottom w:val="0"/>
      <w:divBdr>
        <w:top w:val="none" w:sz="0" w:space="0" w:color="auto"/>
        <w:left w:val="none" w:sz="0" w:space="0" w:color="auto"/>
        <w:bottom w:val="none" w:sz="0" w:space="0" w:color="auto"/>
        <w:right w:val="none" w:sz="0" w:space="0" w:color="auto"/>
      </w:divBdr>
    </w:div>
    <w:div w:id="744181109">
      <w:bodyDiv w:val="1"/>
      <w:marLeft w:val="0"/>
      <w:marRight w:val="0"/>
      <w:marTop w:val="0"/>
      <w:marBottom w:val="0"/>
      <w:divBdr>
        <w:top w:val="none" w:sz="0" w:space="0" w:color="auto"/>
        <w:left w:val="none" w:sz="0" w:space="0" w:color="auto"/>
        <w:bottom w:val="none" w:sz="0" w:space="0" w:color="auto"/>
        <w:right w:val="none" w:sz="0" w:space="0" w:color="auto"/>
      </w:divBdr>
    </w:div>
    <w:div w:id="755904953">
      <w:bodyDiv w:val="1"/>
      <w:marLeft w:val="0"/>
      <w:marRight w:val="0"/>
      <w:marTop w:val="0"/>
      <w:marBottom w:val="0"/>
      <w:divBdr>
        <w:top w:val="none" w:sz="0" w:space="0" w:color="auto"/>
        <w:left w:val="none" w:sz="0" w:space="0" w:color="auto"/>
        <w:bottom w:val="none" w:sz="0" w:space="0" w:color="auto"/>
        <w:right w:val="none" w:sz="0" w:space="0" w:color="auto"/>
      </w:divBdr>
    </w:div>
    <w:div w:id="773944673">
      <w:bodyDiv w:val="1"/>
      <w:marLeft w:val="0"/>
      <w:marRight w:val="0"/>
      <w:marTop w:val="0"/>
      <w:marBottom w:val="0"/>
      <w:divBdr>
        <w:top w:val="none" w:sz="0" w:space="0" w:color="auto"/>
        <w:left w:val="none" w:sz="0" w:space="0" w:color="auto"/>
        <w:bottom w:val="none" w:sz="0" w:space="0" w:color="auto"/>
        <w:right w:val="none" w:sz="0" w:space="0" w:color="auto"/>
      </w:divBdr>
    </w:div>
    <w:div w:id="783578009">
      <w:bodyDiv w:val="1"/>
      <w:marLeft w:val="0"/>
      <w:marRight w:val="0"/>
      <w:marTop w:val="0"/>
      <w:marBottom w:val="0"/>
      <w:divBdr>
        <w:top w:val="none" w:sz="0" w:space="0" w:color="auto"/>
        <w:left w:val="none" w:sz="0" w:space="0" w:color="auto"/>
        <w:bottom w:val="none" w:sz="0" w:space="0" w:color="auto"/>
        <w:right w:val="none" w:sz="0" w:space="0" w:color="auto"/>
      </w:divBdr>
    </w:div>
    <w:div w:id="833884855">
      <w:bodyDiv w:val="1"/>
      <w:marLeft w:val="0"/>
      <w:marRight w:val="0"/>
      <w:marTop w:val="0"/>
      <w:marBottom w:val="0"/>
      <w:divBdr>
        <w:top w:val="none" w:sz="0" w:space="0" w:color="auto"/>
        <w:left w:val="none" w:sz="0" w:space="0" w:color="auto"/>
        <w:bottom w:val="none" w:sz="0" w:space="0" w:color="auto"/>
        <w:right w:val="none" w:sz="0" w:space="0" w:color="auto"/>
      </w:divBdr>
    </w:div>
    <w:div w:id="859785188">
      <w:bodyDiv w:val="1"/>
      <w:marLeft w:val="0"/>
      <w:marRight w:val="0"/>
      <w:marTop w:val="0"/>
      <w:marBottom w:val="0"/>
      <w:divBdr>
        <w:top w:val="none" w:sz="0" w:space="0" w:color="auto"/>
        <w:left w:val="none" w:sz="0" w:space="0" w:color="auto"/>
        <w:bottom w:val="none" w:sz="0" w:space="0" w:color="auto"/>
        <w:right w:val="none" w:sz="0" w:space="0" w:color="auto"/>
      </w:divBdr>
    </w:div>
    <w:div w:id="878586880">
      <w:bodyDiv w:val="1"/>
      <w:marLeft w:val="0"/>
      <w:marRight w:val="0"/>
      <w:marTop w:val="0"/>
      <w:marBottom w:val="0"/>
      <w:divBdr>
        <w:top w:val="none" w:sz="0" w:space="0" w:color="auto"/>
        <w:left w:val="none" w:sz="0" w:space="0" w:color="auto"/>
        <w:bottom w:val="none" w:sz="0" w:space="0" w:color="auto"/>
        <w:right w:val="none" w:sz="0" w:space="0" w:color="auto"/>
      </w:divBdr>
    </w:div>
    <w:div w:id="882712101">
      <w:bodyDiv w:val="1"/>
      <w:marLeft w:val="0"/>
      <w:marRight w:val="0"/>
      <w:marTop w:val="0"/>
      <w:marBottom w:val="0"/>
      <w:divBdr>
        <w:top w:val="none" w:sz="0" w:space="0" w:color="auto"/>
        <w:left w:val="none" w:sz="0" w:space="0" w:color="auto"/>
        <w:bottom w:val="none" w:sz="0" w:space="0" w:color="auto"/>
        <w:right w:val="none" w:sz="0" w:space="0" w:color="auto"/>
      </w:divBdr>
    </w:div>
    <w:div w:id="904948334">
      <w:bodyDiv w:val="1"/>
      <w:marLeft w:val="0"/>
      <w:marRight w:val="0"/>
      <w:marTop w:val="0"/>
      <w:marBottom w:val="0"/>
      <w:divBdr>
        <w:top w:val="none" w:sz="0" w:space="0" w:color="auto"/>
        <w:left w:val="none" w:sz="0" w:space="0" w:color="auto"/>
        <w:bottom w:val="none" w:sz="0" w:space="0" w:color="auto"/>
        <w:right w:val="none" w:sz="0" w:space="0" w:color="auto"/>
      </w:divBdr>
    </w:div>
    <w:div w:id="908274094">
      <w:bodyDiv w:val="1"/>
      <w:marLeft w:val="0"/>
      <w:marRight w:val="0"/>
      <w:marTop w:val="0"/>
      <w:marBottom w:val="0"/>
      <w:divBdr>
        <w:top w:val="none" w:sz="0" w:space="0" w:color="auto"/>
        <w:left w:val="none" w:sz="0" w:space="0" w:color="auto"/>
        <w:bottom w:val="none" w:sz="0" w:space="0" w:color="auto"/>
        <w:right w:val="none" w:sz="0" w:space="0" w:color="auto"/>
      </w:divBdr>
    </w:div>
    <w:div w:id="909850960">
      <w:bodyDiv w:val="1"/>
      <w:marLeft w:val="0"/>
      <w:marRight w:val="0"/>
      <w:marTop w:val="0"/>
      <w:marBottom w:val="0"/>
      <w:divBdr>
        <w:top w:val="none" w:sz="0" w:space="0" w:color="auto"/>
        <w:left w:val="none" w:sz="0" w:space="0" w:color="auto"/>
        <w:bottom w:val="none" w:sz="0" w:space="0" w:color="auto"/>
        <w:right w:val="none" w:sz="0" w:space="0" w:color="auto"/>
      </w:divBdr>
    </w:div>
    <w:div w:id="911891175">
      <w:bodyDiv w:val="1"/>
      <w:marLeft w:val="0"/>
      <w:marRight w:val="0"/>
      <w:marTop w:val="0"/>
      <w:marBottom w:val="0"/>
      <w:divBdr>
        <w:top w:val="none" w:sz="0" w:space="0" w:color="auto"/>
        <w:left w:val="none" w:sz="0" w:space="0" w:color="auto"/>
        <w:bottom w:val="none" w:sz="0" w:space="0" w:color="auto"/>
        <w:right w:val="none" w:sz="0" w:space="0" w:color="auto"/>
      </w:divBdr>
    </w:div>
    <w:div w:id="921571243">
      <w:bodyDiv w:val="1"/>
      <w:marLeft w:val="0"/>
      <w:marRight w:val="0"/>
      <w:marTop w:val="0"/>
      <w:marBottom w:val="0"/>
      <w:divBdr>
        <w:top w:val="none" w:sz="0" w:space="0" w:color="auto"/>
        <w:left w:val="none" w:sz="0" w:space="0" w:color="auto"/>
        <w:bottom w:val="none" w:sz="0" w:space="0" w:color="auto"/>
        <w:right w:val="none" w:sz="0" w:space="0" w:color="auto"/>
      </w:divBdr>
    </w:div>
    <w:div w:id="968320442">
      <w:bodyDiv w:val="1"/>
      <w:marLeft w:val="0"/>
      <w:marRight w:val="0"/>
      <w:marTop w:val="0"/>
      <w:marBottom w:val="0"/>
      <w:divBdr>
        <w:top w:val="none" w:sz="0" w:space="0" w:color="auto"/>
        <w:left w:val="none" w:sz="0" w:space="0" w:color="auto"/>
        <w:bottom w:val="none" w:sz="0" w:space="0" w:color="auto"/>
        <w:right w:val="none" w:sz="0" w:space="0" w:color="auto"/>
      </w:divBdr>
    </w:div>
    <w:div w:id="1013339567">
      <w:bodyDiv w:val="1"/>
      <w:marLeft w:val="0"/>
      <w:marRight w:val="0"/>
      <w:marTop w:val="0"/>
      <w:marBottom w:val="0"/>
      <w:divBdr>
        <w:top w:val="none" w:sz="0" w:space="0" w:color="auto"/>
        <w:left w:val="none" w:sz="0" w:space="0" w:color="auto"/>
        <w:bottom w:val="none" w:sz="0" w:space="0" w:color="auto"/>
        <w:right w:val="none" w:sz="0" w:space="0" w:color="auto"/>
      </w:divBdr>
    </w:div>
    <w:div w:id="1080444201">
      <w:bodyDiv w:val="1"/>
      <w:marLeft w:val="0"/>
      <w:marRight w:val="0"/>
      <w:marTop w:val="0"/>
      <w:marBottom w:val="0"/>
      <w:divBdr>
        <w:top w:val="none" w:sz="0" w:space="0" w:color="auto"/>
        <w:left w:val="none" w:sz="0" w:space="0" w:color="auto"/>
        <w:bottom w:val="none" w:sz="0" w:space="0" w:color="auto"/>
        <w:right w:val="none" w:sz="0" w:space="0" w:color="auto"/>
      </w:divBdr>
    </w:div>
    <w:div w:id="1126655666">
      <w:bodyDiv w:val="1"/>
      <w:marLeft w:val="0"/>
      <w:marRight w:val="0"/>
      <w:marTop w:val="0"/>
      <w:marBottom w:val="0"/>
      <w:divBdr>
        <w:top w:val="none" w:sz="0" w:space="0" w:color="auto"/>
        <w:left w:val="none" w:sz="0" w:space="0" w:color="auto"/>
        <w:bottom w:val="none" w:sz="0" w:space="0" w:color="auto"/>
        <w:right w:val="none" w:sz="0" w:space="0" w:color="auto"/>
      </w:divBdr>
    </w:div>
    <w:div w:id="1156144903">
      <w:bodyDiv w:val="1"/>
      <w:marLeft w:val="0"/>
      <w:marRight w:val="0"/>
      <w:marTop w:val="0"/>
      <w:marBottom w:val="0"/>
      <w:divBdr>
        <w:top w:val="none" w:sz="0" w:space="0" w:color="auto"/>
        <w:left w:val="none" w:sz="0" w:space="0" w:color="auto"/>
        <w:bottom w:val="none" w:sz="0" w:space="0" w:color="auto"/>
        <w:right w:val="none" w:sz="0" w:space="0" w:color="auto"/>
      </w:divBdr>
    </w:div>
    <w:div w:id="1191532380">
      <w:bodyDiv w:val="1"/>
      <w:marLeft w:val="0"/>
      <w:marRight w:val="0"/>
      <w:marTop w:val="0"/>
      <w:marBottom w:val="0"/>
      <w:divBdr>
        <w:top w:val="none" w:sz="0" w:space="0" w:color="auto"/>
        <w:left w:val="none" w:sz="0" w:space="0" w:color="auto"/>
        <w:bottom w:val="none" w:sz="0" w:space="0" w:color="auto"/>
        <w:right w:val="none" w:sz="0" w:space="0" w:color="auto"/>
      </w:divBdr>
    </w:div>
    <w:div w:id="1219821859">
      <w:bodyDiv w:val="1"/>
      <w:marLeft w:val="0"/>
      <w:marRight w:val="0"/>
      <w:marTop w:val="0"/>
      <w:marBottom w:val="0"/>
      <w:divBdr>
        <w:top w:val="none" w:sz="0" w:space="0" w:color="auto"/>
        <w:left w:val="none" w:sz="0" w:space="0" w:color="auto"/>
        <w:bottom w:val="none" w:sz="0" w:space="0" w:color="auto"/>
        <w:right w:val="none" w:sz="0" w:space="0" w:color="auto"/>
      </w:divBdr>
    </w:div>
    <w:div w:id="1332559376">
      <w:bodyDiv w:val="1"/>
      <w:marLeft w:val="0"/>
      <w:marRight w:val="0"/>
      <w:marTop w:val="0"/>
      <w:marBottom w:val="0"/>
      <w:divBdr>
        <w:top w:val="none" w:sz="0" w:space="0" w:color="auto"/>
        <w:left w:val="none" w:sz="0" w:space="0" w:color="auto"/>
        <w:bottom w:val="none" w:sz="0" w:space="0" w:color="auto"/>
        <w:right w:val="none" w:sz="0" w:space="0" w:color="auto"/>
      </w:divBdr>
    </w:div>
    <w:div w:id="1374385277">
      <w:bodyDiv w:val="1"/>
      <w:marLeft w:val="0"/>
      <w:marRight w:val="0"/>
      <w:marTop w:val="0"/>
      <w:marBottom w:val="0"/>
      <w:divBdr>
        <w:top w:val="none" w:sz="0" w:space="0" w:color="auto"/>
        <w:left w:val="none" w:sz="0" w:space="0" w:color="auto"/>
        <w:bottom w:val="none" w:sz="0" w:space="0" w:color="auto"/>
        <w:right w:val="none" w:sz="0" w:space="0" w:color="auto"/>
      </w:divBdr>
    </w:div>
    <w:div w:id="1412654143">
      <w:bodyDiv w:val="1"/>
      <w:marLeft w:val="0"/>
      <w:marRight w:val="0"/>
      <w:marTop w:val="0"/>
      <w:marBottom w:val="0"/>
      <w:divBdr>
        <w:top w:val="none" w:sz="0" w:space="0" w:color="auto"/>
        <w:left w:val="none" w:sz="0" w:space="0" w:color="auto"/>
        <w:bottom w:val="none" w:sz="0" w:space="0" w:color="auto"/>
        <w:right w:val="none" w:sz="0" w:space="0" w:color="auto"/>
      </w:divBdr>
    </w:div>
    <w:div w:id="1413627843">
      <w:bodyDiv w:val="1"/>
      <w:marLeft w:val="0"/>
      <w:marRight w:val="0"/>
      <w:marTop w:val="0"/>
      <w:marBottom w:val="0"/>
      <w:divBdr>
        <w:top w:val="none" w:sz="0" w:space="0" w:color="auto"/>
        <w:left w:val="none" w:sz="0" w:space="0" w:color="auto"/>
        <w:bottom w:val="none" w:sz="0" w:space="0" w:color="auto"/>
        <w:right w:val="none" w:sz="0" w:space="0" w:color="auto"/>
      </w:divBdr>
    </w:div>
    <w:div w:id="1433278388">
      <w:bodyDiv w:val="1"/>
      <w:marLeft w:val="0"/>
      <w:marRight w:val="0"/>
      <w:marTop w:val="0"/>
      <w:marBottom w:val="0"/>
      <w:divBdr>
        <w:top w:val="none" w:sz="0" w:space="0" w:color="auto"/>
        <w:left w:val="none" w:sz="0" w:space="0" w:color="auto"/>
        <w:bottom w:val="none" w:sz="0" w:space="0" w:color="auto"/>
        <w:right w:val="none" w:sz="0" w:space="0" w:color="auto"/>
      </w:divBdr>
    </w:div>
    <w:div w:id="1437675307">
      <w:bodyDiv w:val="1"/>
      <w:marLeft w:val="0"/>
      <w:marRight w:val="0"/>
      <w:marTop w:val="0"/>
      <w:marBottom w:val="0"/>
      <w:divBdr>
        <w:top w:val="none" w:sz="0" w:space="0" w:color="auto"/>
        <w:left w:val="none" w:sz="0" w:space="0" w:color="auto"/>
        <w:bottom w:val="none" w:sz="0" w:space="0" w:color="auto"/>
        <w:right w:val="none" w:sz="0" w:space="0" w:color="auto"/>
      </w:divBdr>
    </w:div>
    <w:div w:id="1465193707">
      <w:bodyDiv w:val="1"/>
      <w:marLeft w:val="0"/>
      <w:marRight w:val="0"/>
      <w:marTop w:val="0"/>
      <w:marBottom w:val="0"/>
      <w:divBdr>
        <w:top w:val="none" w:sz="0" w:space="0" w:color="auto"/>
        <w:left w:val="none" w:sz="0" w:space="0" w:color="auto"/>
        <w:bottom w:val="none" w:sz="0" w:space="0" w:color="auto"/>
        <w:right w:val="none" w:sz="0" w:space="0" w:color="auto"/>
      </w:divBdr>
    </w:div>
    <w:div w:id="1483042286">
      <w:bodyDiv w:val="1"/>
      <w:marLeft w:val="0"/>
      <w:marRight w:val="0"/>
      <w:marTop w:val="0"/>
      <w:marBottom w:val="0"/>
      <w:divBdr>
        <w:top w:val="none" w:sz="0" w:space="0" w:color="auto"/>
        <w:left w:val="none" w:sz="0" w:space="0" w:color="auto"/>
        <w:bottom w:val="none" w:sz="0" w:space="0" w:color="auto"/>
        <w:right w:val="none" w:sz="0" w:space="0" w:color="auto"/>
      </w:divBdr>
    </w:div>
    <w:div w:id="1488087508">
      <w:bodyDiv w:val="1"/>
      <w:marLeft w:val="0"/>
      <w:marRight w:val="0"/>
      <w:marTop w:val="0"/>
      <w:marBottom w:val="0"/>
      <w:divBdr>
        <w:top w:val="none" w:sz="0" w:space="0" w:color="auto"/>
        <w:left w:val="none" w:sz="0" w:space="0" w:color="auto"/>
        <w:bottom w:val="none" w:sz="0" w:space="0" w:color="auto"/>
        <w:right w:val="none" w:sz="0" w:space="0" w:color="auto"/>
      </w:divBdr>
    </w:div>
    <w:div w:id="1489250311">
      <w:bodyDiv w:val="1"/>
      <w:marLeft w:val="0"/>
      <w:marRight w:val="0"/>
      <w:marTop w:val="0"/>
      <w:marBottom w:val="0"/>
      <w:divBdr>
        <w:top w:val="none" w:sz="0" w:space="0" w:color="auto"/>
        <w:left w:val="none" w:sz="0" w:space="0" w:color="auto"/>
        <w:bottom w:val="none" w:sz="0" w:space="0" w:color="auto"/>
        <w:right w:val="none" w:sz="0" w:space="0" w:color="auto"/>
      </w:divBdr>
    </w:div>
    <w:div w:id="1611934114">
      <w:bodyDiv w:val="1"/>
      <w:marLeft w:val="0"/>
      <w:marRight w:val="0"/>
      <w:marTop w:val="0"/>
      <w:marBottom w:val="0"/>
      <w:divBdr>
        <w:top w:val="none" w:sz="0" w:space="0" w:color="auto"/>
        <w:left w:val="none" w:sz="0" w:space="0" w:color="auto"/>
        <w:bottom w:val="none" w:sz="0" w:space="0" w:color="auto"/>
        <w:right w:val="none" w:sz="0" w:space="0" w:color="auto"/>
      </w:divBdr>
    </w:div>
    <w:div w:id="1670525533">
      <w:bodyDiv w:val="1"/>
      <w:marLeft w:val="0"/>
      <w:marRight w:val="0"/>
      <w:marTop w:val="0"/>
      <w:marBottom w:val="0"/>
      <w:divBdr>
        <w:top w:val="none" w:sz="0" w:space="0" w:color="auto"/>
        <w:left w:val="none" w:sz="0" w:space="0" w:color="auto"/>
        <w:bottom w:val="none" w:sz="0" w:space="0" w:color="auto"/>
        <w:right w:val="none" w:sz="0" w:space="0" w:color="auto"/>
      </w:divBdr>
    </w:div>
    <w:div w:id="1687293663">
      <w:bodyDiv w:val="1"/>
      <w:marLeft w:val="0"/>
      <w:marRight w:val="0"/>
      <w:marTop w:val="0"/>
      <w:marBottom w:val="0"/>
      <w:divBdr>
        <w:top w:val="none" w:sz="0" w:space="0" w:color="auto"/>
        <w:left w:val="none" w:sz="0" w:space="0" w:color="auto"/>
        <w:bottom w:val="none" w:sz="0" w:space="0" w:color="auto"/>
        <w:right w:val="none" w:sz="0" w:space="0" w:color="auto"/>
      </w:divBdr>
    </w:div>
    <w:div w:id="1715734788">
      <w:bodyDiv w:val="1"/>
      <w:marLeft w:val="0"/>
      <w:marRight w:val="0"/>
      <w:marTop w:val="0"/>
      <w:marBottom w:val="0"/>
      <w:divBdr>
        <w:top w:val="none" w:sz="0" w:space="0" w:color="auto"/>
        <w:left w:val="none" w:sz="0" w:space="0" w:color="auto"/>
        <w:bottom w:val="none" w:sz="0" w:space="0" w:color="auto"/>
        <w:right w:val="none" w:sz="0" w:space="0" w:color="auto"/>
      </w:divBdr>
    </w:div>
    <w:div w:id="1729454594">
      <w:bodyDiv w:val="1"/>
      <w:marLeft w:val="0"/>
      <w:marRight w:val="0"/>
      <w:marTop w:val="0"/>
      <w:marBottom w:val="0"/>
      <w:divBdr>
        <w:top w:val="none" w:sz="0" w:space="0" w:color="auto"/>
        <w:left w:val="none" w:sz="0" w:space="0" w:color="auto"/>
        <w:bottom w:val="none" w:sz="0" w:space="0" w:color="auto"/>
        <w:right w:val="none" w:sz="0" w:space="0" w:color="auto"/>
      </w:divBdr>
    </w:div>
    <w:div w:id="1897278416">
      <w:bodyDiv w:val="1"/>
      <w:marLeft w:val="0"/>
      <w:marRight w:val="0"/>
      <w:marTop w:val="0"/>
      <w:marBottom w:val="0"/>
      <w:divBdr>
        <w:top w:val="none" w:sz="0" w:space="0" w:color="auto"/>
        <w:left w:val="none" w:sz="0" w:space="0" w:color="auto"/>
        <w:bottom w:val="none" w:sz="0" w:space="0" w:color="auto"/>
        <w:right w:val="none" w:sz="0" w:space="0" w:color="auto"/>
      </w:divBdr>
    </w:div>
    <w:div w:id="1961721432">
      <w:bodyDiv w:val="1"/>
      <w:marLeft w:val="0"/>
      <w:marRight w:val="0"/>
      <w:marTop w:val="0"/>
      <w:marBottom w:val="0"/>
      <w:divBdr>
        <w:top w:val="none" w:sz="0" w:space="0" w:color="auto"/>
        <w:left w:val="none" w:sz="0" w:space="0" w:color="auto"/>
        <w:bottom w:val="none" w:sz="0" w:space="0" w:color="auto"/>
        <w:right w:val="none" w:sz="0" w:space="0" w:color="auto"/>
      </w:divBdr>
    </w:div>
    <w:div w:id="2051950495">
      <w:bodyDiv w:val="1"/>
      <w:marLeft w:val="0"/>
      <w:marRight w:val="0"/>
      <w:marTop w:val="0"/>
      <w:marBottom w:val="0"/>
      <w:divBdr>
        <w:top w:val="none" w:sz="0" w:space="0" w:color="auto"/>
        <w:left w:val="none" w:sz="0" w:space="0" w:color="auto"/>
        <w:bottom w:val="none" w:sz="0" w:space="0" w:color="auto"/>
        <w:right w:val="none" w:sz="0" w:space="0" w:color="auto"/>
      </w:divBdr>
    </w:div>
    <w:div w:id="20727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FA4B-0A60-482E-9A2C-2F28B6FC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Tuplin</dc:creator>
  <cp:keywords/>
  <dc:description/>
  <cp:lastModifiedBy>COLLINGWOOD, Jayne (DONCASTER AND BASSETLAW TEACHING HOSPITALS NHS FOUNDATION TRUST)</cp:lastModifiedBy>
  <cp:revision>3</cp:revision>
  <cp:lastPrinted>2022-02-15T11:41:00Z</cp:lastPrinted>
  <dcterms:created xsi:type="dcterms:W3CDTF">2022-02-21T09:00:00Z</dcterms:created>
  <dcterms:modified xsi:type="dcterms:W3CDTF">2022-02-21T09:04:00Z</dcterms:modified>
</cp:coreProperties>
</file>