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EE0B" w14:textId="5FD7CC37" w:rsidR="007D6280" w:rsidRPr="00D24FE3" w:rsidRDefault="007D6280" w:rsidP="007D6280">
      <w:pPr>
        <w:pStyle w:val="Default"/>
        <w:rPr>
          <w:sz w:val="36"/>
          <w:szCs w:val="36"/>
        </w:rPr>
      </w:pPr>
      <w:r w:rsidRPr="00D24FE3">
        <w:rPr>
          <w:b/>
          <w:bCs/>
          <w:sz w:val="36"/>
          <w:szCs w:val="36"/>
        </w:rPr>
        <w:t xml:space="preserve">Gender </w:t>
      </w:r>
      <w:r w:rsidR="009E3295" w:rsidRPr="00D24FE3">
        <w:rPr>
          <w:b/>
          <w:bCs/>
          <w:sz w:val="36"/>
          <w:szCs w:val="36"/>
        </w:rPr>
        <w:t>P</w:t>
      </w:r>
      <w:r w:rsidRPr="00D24FE3">
        <w:rPr>
          <w:b/>
          <w:bCs/>
          <w:sz w:val="36"/>
          <w:szCs w:val="36"/>
        </w:rPr>
        <w:t xml:space="preserve">ay </w:t>
      </w:r>
      <w:r w:rsidR="009E3295" w:rsidRPr="00D24FE3">
        <w:rPr>
          <w:b/>
          <w:bCs/>
          <w:sz w:val="36"/>
          <w:szCs w:val="36"/>
        </w:rPr>
        <w:t>G</w:t>
      </w:r>
      <w:r w:rsidRPr="00D24FE3">
        <w:rPr>
          <w:b/>
          <w:bCs/>
          <w:sz w:val="36"/>
          <w:szCs w:val="36"/>
        </w:rPr>
        <w:t xml:space="preserve">ap report </w:t>
      </w:r>
      <w:r w:rsidR="00D24FE3">
        <w:rPr>
          <w:b/>
          <w:bCs/>
          <w:sz w:val="36"/>
          <w:szCs w:val="36"/>
        </w:rPr>
        <w:t xml:space="preserve">(data as </w:t>
      </w:r>
      <w:r w:rsidR="00CB6A7A">
        <w:rPr>
          <w:b/>
          <w:bCs/>
          <w:sz w:val="36"/>
          <w:szCs w:val="36"/>
        </w:rPr>
        <w:t>of</w:t>
      </w:r>
      <w:r w:rsidR="00D24FE3">
        <w:rPr>
          <w:b/>
          <w:bCs/>
          <w:sz w:val="36"/>
          <w:szCs w:val="36"/>
        </w:rPr>
        <w:t xml:space="preserve"> </w:t>
      </w:r>
      <w:r w:rsidR="00D555EC" w:rsidRPr="00D24FE3">
        <w:rPr>
          <w:b/>
          <w:bCs/>
          <w:sz w:val="36"/>
          <w:szCs w:val="36"/>
        </w:rPr>
        <w:t xml:space="preserve">31 March </w:t>
      </w:r>
      <w:r w:rsidR="00741534" w:rsidRPr="00D24FE3">
        <w:rPr>
          <w:b/>
          <w:bCs/>
          <w:sz w:val="36"/>
          <w:szCs w:val="36"/>
        </w:rPr>
        <w:t>202</w:t>
      </w:r>
      <w:r w:rsidR="00C17DAE" w:rsidRPr="00D24FE3">
        <w:rPr>
          <w:b/>
          <w:bCs/>
          <w:sz w:val="36"/>
          <w:szCs w:val="36"/>
        </w:rPr>
        <w:t>2</w:t>
      </w:r>
      <w:r w:rsidR="00D24FE3">
        <w:rPr>
          <w:b/>
          <w:bCs/>
          <w:sz w:val="36"/>
          <w:szCs w:val="36"/>
        </w:rPr>
        <w:t>)</w:t>
      </w:r>
      <w:r w:rsidR="007C3DAB" w:rsidRPr="00D24FE3">
        <w:rPr>
          <w:b/>
          <w:bCs/>
          <w:sz w:val="36"/>
          <w:szCs w:val="36"/>
        </w:rPr>
        <w:t xml:space="preserve"> </w:t>
      </w:r>
    </w:p>
    <w:p w14:paraId="4A2FDBE9" w14:textId="77777777" w:rsidR="00D555EC" w:rsidRDefault="00D555EC" w:rsidP="007D6280">
      <w:pPr>
        <w:pStyle w:val="Default"/>
        <w:rPr>
          <w:b/>
          <w:bCs/>
          <w:sz w:val="22"/>
          <w:szCs w:val="22"/>
        </w:rPr>
      </w:pPr>
    </w:p>
    <w:p w14:paraId="2914682A" w14:textId="172E71C6" w:rsidR="007D6280" w:rsidRDefault="007C3DAB" w:rsidP="007C3DAB">
      <w:pPr>
        <w:pStyle w:val="Default"/>
        <w:numPr>
          <w:ilvl w:val="0"/>
          <w:numId w:val="10"/>
        </w:numPr>
        <w:ind w:hanging="720"/>
        <w:rPr>
          <w:b/>
          <w:bCs/>
          <w:sz w:val="28"/>
          <w:szCs w:val="22"/>
        </w:rPr>
      </w:pPr>
      <w:r w:rsidRPr="007C3DAB">
        <w:rPr>
          <w:b/>
          <w:bCs/>
          <w:sz w:val="28"/>
          <w:szCs w:val="22"/>
        </w:rPr>
        <w:t>I</w:t>
      </w:r>
      <w:r w:rsidR="007D6280" w:rsidRPr="007C3DAB">
        <w:rPr>
          <w:b/>
          <w:bCs/>
          <w:sz w:val="28"/>
          <w:szCs w:val="22"/>
        </w:rPr>
        <w:t xml:space="preserve">ntroduction </w:t>
      </w:r>
    </w:p>
    <w:p w14:paraId="2D12F525" w14:textId="77777777" w:rsidR="00990F54" w:rsidRDefault="00990F54" w:rsidP="004B595F">
      <w:pPr>
        <w:pStyle w:val="Default"/>
        <w:jc w:val="both"/>
        <w:rPr>
          <w:sz w:val="22"/>
          <w:szCs w:val="22"/>
        </w:rPr>
      </w:pPr>
    </w:p>
    <w:p w14:paraId="0EECEA07" w14:textId="6B440F7C" w:rsidR="007D6280" w:rsidRDefault="007D6280" w:rsidP="004B595F">
      <w:pPr>
        <w:pStyle w:val="Default"/>
        <w:jc w:val="both"/>
        <w:rPr>
          <w:sz w:val="22"/>
          <w:szCs w:val="22"/>
        </w:rPr>
      </w:pPr>
      <w:r>
        <w:rPr>
          <w:sz w:val="22"/>
          <w:szCs w:val="22"/>
        </w:rPr>
        <w:t xml:space="preserve">Gender Pay Gap legislation requires all employers of 250 or more employees to publish their gender pay gap data annually. </w:t>
      </w:r>
      <w:r w:rsidR="007C3DAB">
        <w:rPr>
          <w:sz w:val="22"/>
          <w:szCs w:val="22"/>
        </w:rPr>
        <w:t xml:space="preserve"> </w:t>
      </w:r>
      <w:r>
        <w:rPr>
          <w:sz w:val="22"/>
          <w:szCs w:val="22"/>
        </w:rPr>
        <w:t>Doncaster and Bassetlaw Teaching Hospitals NHS Fo</w:t>
      </w:r>
      <w:r w:rsidR="00AB4C4B">
        <w:rPr>
          <w:sz w:val="22"/>
          <w:szCs w:val="22"/>
        </w:rPr>
        <w:t>undation</w:t>
      </w:r>
      <w:r w:rsidR="00502CAE">
        <w:rPr>
          <w:sz w:val="22"/>
          <w:szCs w:val="22"/>
        </w:rPr>
        <w:t xml:space="preserve"> Trust employs around </w:t>
      </w:r>
      <w:r w:rsidR="00040E90">
        <w:rPr>
          <w:color w:val="auto"/>
          <w:sz w:val="22"/>
          <w:szCs w:val="22"/>
        </w:rPr>
        <w:t>6530</w:t>
      </w:r>
      <w:r>
        <w:rPr>
          <w:sz w:val="22"/>
          <w:szCs w:val="22"/>
        </w:rPr>
        <w:t xml:space="preserve"> </w:t>
      </w:r>
      <w:r w:rsidR="00D24FE3">
        <w:rPr>
          <w:sz w:val="22"/>
          <w:szCs w:val="22"/>
        </w:rPr>
        <w:t>colleagues</w:t>
      </w:r>
      <w:r>
        <w:rPr>
          <w:sz w:val="22"/>
          <w:szCs w:val="22"/>
        </w:rPr>
        <w:t xml:space="preserve"> in a range of roles, including administrative, medical, nursing, allied </w:t>
      </w:r>
      <w:r w:rsidR="00DF3120">
        <w:rPr>
          <w:sz w:val="22"/>
          <w:szCs w:val="22"/>
        </w:rPr>
        <w:t>health,</w:t>
      </w:r>
      <w:r>
        <w:rPr>
          <w:sz w:val="22"/>
          <w:szCs w:val="22"/>
        </w:rPr>
        <w:t xml:space="preserve"> and managerial roles. </w:t>
      </w:r>
      <w:r w:rsidR="007C3DAB">
        <w:rPr>
          <w:sz w:val="22"/>
          <w:szCs w:val="22"/>
        </w:rPr>
        <w:t xml:space="preserve"> </w:t>
      </w:r>
      <w:r>
        <w:rPr>
          <w:sz w:val="22"/>
          <w:szCs w:val="22"/>
        </w:rPr>
        <w:t xml:space="preserve">The Trust uses the national job evaluation framework for </w:t>
      </w:r>
      <w:r w:rsidR="00D24FE3">
        <w:rPr>
          <w:sz w:val="22"/>
          <w:szCs w:val="22"/>
        </w:rPr>
        <w:t xml:space="preserve">people on </w:t>
      </w:r>
      <w:r>
        <w:rPr>
          <w:sz w:val="22"/>
          <w:szCs w:val="22"/>
        </w:rPr>
        <w:t xml:space="preserve">Agenda for Change </w:t>
      </w:r>
      <w:r w:rsidR="00DE46E7">
        <w:rPr>
          <w:sz w:val="22"/>
          <w:szCs w:val="22"/>
        </w:rPr>
        <w:t>(AFC)</w:t>
      </w:r>
      <w:r w:rsidR="00D24FE3">
        <w:rPr>
          <w:sz w:val="22"/>
          <w:szCs w:val="22"/>
        </w:rPr>
        <w:t xml:space="preserve"> terms and conditions</w:t>
      </w:r>
      <w:r>
        <w:rPr>
          <w:sz w:val="22"/>
          <w:szCs w:val="22"/>
        </w:rPr>
        <w:t xml:space="preserve"> to determine appropriate pay bandings; this provides a clear process of paying employees equally for the same or equivalent work.</w:t>
      </w:r>
      <w:r w:rsidR="007C3DAB">
        <w:rPr>
          <w:sz w:val="22"/>
          <w:szCs w:val="22"/>
        </w:rPr>
        <w:t xml:space="preserve"> </w:t>
      </w:r>
      <w:r>
        <w:rPr>
          <w:sz w:val="22"/>
          <w:szCs w:val="22"/>
        </w:rPr>
        <w:t xml:space="preserve"> Each grade has a set of pay points for annual progression, the longer period that someone has been in a grade the higher their salary is likely to be</w:t>
      </w:r>
      <w:r w:rsidR="00747535">
        <w:rPr>
          <w:sz w:val="22"/>
          <w:szCs w:val="22"/>
        </w:rPr>
        <w:t>,</w:t>
      </w:r>
      <w:r>
        <w:rPr>
          <w:sz w:val="22"/>
          <w:szCs w:val="22"/>
        </w:rPr>
        <w:t xml:space="preserve"> irrespective of their gender. </w:t>
      </w:r>
    </w:p>
    <w:p w14:paraId="31DACF0F" w14:textId="77777777" w:rsidR="007D6280" w:rsidRDefault="007D6280" w:rsidP="004B595F">
      <w:pPr>
        <w:pStyle w:val="Default"/>
        <w:jc w:val="both"/>
        <w:rPr>
          <w:sz w:val="22"/>
          <w:szCs w:val="22"/>
        </w:rPr>
      </w:pPr>
    </w:p>
    <w:p w14:paraId="0A7DB958" w14:textId="77777777" w:rsidR="00DE46E7" w:rsidRDefault="007D6280" w:rsidP="004B595F">
      <w:pPr>
        <w:pStyle w:val="Default"/>
        <w:jc w:val="both"/>
        <w:rPr>
          <w:sz w:val="22"/>
          <w:szCs w:val="22"/>
        </w:rPr>
      </w:pPr>
      <w:r>
        <w:rPr>
          <w:sz w:val="22"/>
          <w:szCs w:val="22"/>
        </w:rPr>
        <w:t xml:space="preserve">It </w:t>
      </w:r>
      <w:r w:rsidR="00DE46E7">
        <w:rPr>
          <w:sz w:val="22"/>
          <w:szCs w:val="22"/>
        </w:rPr>
        <w:t xml:space="preserve">is important to note that </w:t>
      </w:r>
      <w:r>
        <w:rPr>
          <w:sz w:val="22"/>
          <w:szCs w:val="22"/>
        </w:rPr>
        <w:t xml:space="preserve">gender pay gap reporting is different from equal pay which deals with the pay differences between men and women who carry out the same job, similar </w:t>
      </w:r>
      <w:proofErr w:type="gramStart"/>
      <w:r>
        <w:rPr>
          <w:sz w:val="22"/>
          <w:szCs w:val="22"/>
        </w:rPr>
        <w:t>job</w:t>
      </w:r>
      <w:proofErr w:type="gramEnd"/>
      <w:r>
        <w:rPr>
          <w:sz w:val="22"/>
          <w:szCs w:val="22"/>
        </w:rPr>
        <w:t xml:space="preserve"> or work of equal value. </w:t>
      </w:r>
      <w:r w:rsidR="007C3DAB">
        <w:rPr>
          <w:sz w:val="22"/>
          <w:szCs w:val="22"/>
        </w:rPr>
        <w:t xml:space="preserve"> </w:t>
      </w:r>
      <w:r>
        <w:rPr>
          <w:sz w:val="22"/>
          <w:szCs w:val="22"/>
        </w:rPr>
        <w:t>It is prohibited under UK law to pay people unequally because they are a man or a woman.</w:t>
      </w:r>
      <w:r w:rsidR="007C3DAB">
        <w:rPr>
          <w:sz w:val="22"/>
          <w:szCs w:val="22"/>
        </w:rPr>
        <w:t xml:space="preserve"> </w:t>
      </w:r>
      <w:r>
        <w:rPr>
          <w:sz w:val="22"/>
          <w:szCs w:val="22"/>
        </w:rPr>
        <w:t xml:space="preserve"> </w:t>
      </w:r>
    </w:p>
    <w:p w14:paraId="61ECCECA" w14:textId="77777777" w:rsidR="00DE46E7" w:rsidRDefault="00DE46E7" w:rsidP="004B595F">
      <w:pPr>
        <w:pStyle w:val="Default"/>
        <w:jc w:val="both"/>
        <w:rPr>
          <w:sz w:val="22"/>
          <w:szCs w:val="22"/>
        </w:rPr>
      </w:pPr>
    </w:p>
    <w:p w14:paraId="1B0470FB" w14:textId="4BF83F60" w:rsidR="007D6280" w:rsidRDefault="007D6280" w:rsidP="00DE46E7">
      <w:pPr>
        <w:pStyle w:val="Default"/>
        <w:rPr>
          <w:sz w:val="22"/>
          <w:szCs w:val="22"/>
        </w:rPr>
      </w:pPr>
      <w:r>
        <w:rPr>
          <w:sz w:val="22"/>
          <w:szCs w:val="22"/>
        </w:rPr>
        <w:t>The gender pay gap shows the differences</w:t>
      </w:r>
      <w:r w:rsidR="00F273E1">
        <w:rPr>
          <w:sz w:val="22"/>
          <w:szCs w:val="22"/>
        </w:rPr>
        <w:t xml:space="preserve"> in the average pay between males </w:t>
      </w:r>
      <w:r>
        <w:rPr>
          <w:sz w:val="22"/>
          <w:szCs w:val="22"/>
        </w:rPr>
        <w:t xml:space="preserve">and </w:t>
      </w:r>
      <w:r w:rsidR="00F273E1">
        <w:rPr>
          <w:sz w:val="22"/>
          <w:szCs w:val="22"/>
        </w:rPr>
        <w:t xml:space="preserve">females </w:t>
      </w:r>
      <w:r>
        <w:rPr>
          <w:sz w:val="22"/>
          <w:szCs w:val="22"/>
        </w:rPr>
        <w:t xml:space="preserve">and the regulations require both median and mean figures to be reported. </w:t>
      </w:r>
      <w:r w:rsidR="007C3DAB">
        <w:rPr>
          <w:sz w:val="22"/>
          <w:szCs w:val="22"/>
        </w:rPr>
        <w:t xml:space="preserve"> </w:t>
      </w:r>
      <w:r>
        <w:rPr>
          <w:sz w:val="22"/>
          <w:szCs w:val="22"/>
        </w:rPr>
        <w:t xml:space="preserve">The median shows the mid-point salary of any sample, calculated through sorting the hourly rates from lowest to highest and calculating the middle value. </w:t>
      </w:r>
      <w:r w:rsidR="007C3DAB">
        <w:rPr>
          <w:sz w:val="22"/>
          <w:szCs w:val="22"/>
        </w:rPr>
        <w:t xml:space="preserve"> </w:t>
      </w:r>
      <w:r>
        <w:rPr>
          <w:sz w:val="22"/>
          <w:szCs w:val="22"/>
        </w:rPr>
        <w:t xml:space="preserve">The mean is the overall average of the sample and therefore the overall figure can be influenced by any extremely high or low hourly rates of pay. It is therefore possible to have genuine pay equality but still have a significant gender pay gap. </w:t>
      </w:r>
    </w:p>
    <w:p w14:paraId="146F19FD" w14:textId="77777777" w:rsidR="007D6280" w:rsidRDefault="007D6280" w:rsidP="004B595F">
      <w:pPr>
        <w:pStyle w:val="Default"/>
        <w:jc w:val="both"/>
        <w:rPr>
          <w:sz w:val="22"/>
          <w:szCs w:val="22"/>
        </w:rPr>
      </w:pPr>
    </w:p>
    <w:p w14:paraId="4B5351E6" w14:textId="77777777" w:rsidR="00990F54" w:rsidRPr="007C3DAB" w:rsidRDefault="006F68EF" w:rsidP="00990F54">
      <w:pPr>
        <w:pStyle w:val="Default"/>
        <w:numPr>
          <w:ilvl w:val="0"/>
          <w:numId w:val="10"/>
        </w:numPr>
        <w:rPr>
          <w:b/>
          <w:bCs/>
          <w:sz w:val="28"/>
          <w:szCs w:val="22"/>
        </w:rPr>
      </w:pPr>
      <w:r w:rsidRPr="008F4F7B">
        <w:rPr>
          <w:b/>
          <w:bCs/>
          <w:sz w:val="28"/>
          <w:szCs w:val="28"/>
        </w:rPr>
        <w:tab/>
      </w:r>
      <w:r w:rsidR="00990F54" w:rsidRPr="008F4F7B">
        <w:rPr>
          <w:b/>
          <w:bCs/>
          <w:sz w:val="28"/>
          <w:szCs w:val="28"/>
        </w:rPr>
        <w:t>NHS Pay Structure</w:t>
      </w:r>
    </w:p>
    <w:p w14:paraId="3F6A83D9" w14:textId="5679CD01" w:rsidR="006F68EF" w:rsidRPr="008F4F7B" w:rsidRDefault="006F68EF" w:rsidP="006F68EF">
      <w:pPr>
        <w:pStyle w:val="Default"/>
        <w:rPr>
          <w:b/>
          <w:bCs/>
          <w:sz w:val="28"/>
          <w:szCs w:val="28"/>
        </w:rPr>
      </w:pPr>
    </w:p>
    <w:p w14:paraId="13A1134E" w14:textId="65E0FE56" w:rsidR="006F68EF" w:rsidRDefault="006F68EF" w:rsidP="006F68EF">
      <w:pPr>
        <w:pStyle w:val="Default"/>
        <w:rPr>
          <w:sz w:val="22"/>
          <w:szCs w:val="22"/>
        </w:rPr>
      </w:pPr>
      <w:r w:rsidRPr="006F68EF">
        <w:rPr>
          <w:sz w:val="22"/>
          <w:szCs w:val="22"/>
        </w:rPr>
        <w:t xml:space="preserve">The majority of DBTH </w:t>
      </w:r>
      <w:r w:rsidR="00D24FE3">
        <w:rPr>
          <w:sz w:val="22"/>
          <w:szCs w:val="22"/>
        </w:rPr>
        <w:t>colleagues</w:t>
      </w:r>
      <w:r w:rsidRPr="006F68EF">
        <w:rPr>
          <w:sz w:val="22"/>
          <w:szCs w:val="22"/>
        </w:rPr>
        <w:t xml:space="preserve"> </w:t>
      </w:r>
      <w:r w:rsidR="00D24FE3">
        <w:rPr>
          <w:sz w:val="22"/>
          <w:szCs w:val="22"/>
        </w:rPr>
        <w:t>are employed u</w:t>
      </w:r>
      <w:r w:rsidRPr="006F68EF">
        <w:rPr>
          <w:sz w:val="22"/>
          <w:szCs w:val="22"/>
        </w:rPr>
        <w:t>nder the central</w:t>
      </w:r>
      <w:r w:rsidR="00D24FE3">
        <w:rPr>
          <w:sz w:val="22"/>
          <w:szCs w:val="22"/>
        </w:rPr>
        <w:t xml:space="preserve"> NHS ‘Agenda for Change’ (AFC)</w:t>
      </w:r>
      <w:r w:rsidRPr="006F68EF">
        <w:rPr>
          <w:sz w:val="22"/>
          <w:szCs w:val="22"/>
        </w:rPr>
        <w:t xml:space="preserve"> terms and conditions</w:t>
      </w:r>
      <w:r w:rsidR="00D24FE3">
        <w:rPr>
          <w:sz w:val="22"/>
          <w:szCs w:val="22"/>
        </w:rPr>
        <w:t>.</w:t>
      </w:r>
      <w:r w:rsidRPr="006F68EF">
        <w:rPr>
          <w:sz w:val="22"/>
          <w:szCs w:val="22"/>
        </w:rPr>
        <w:t xml:space="preserve">  These arrangements were introduced in 2004 with the express intention of avoiding pay inequalities.  Agenda for Change covers more than 1 million people and harmonises their pay scales and career progression arrangements across traditionally separate pay groups.  </w:t>
      </w:r>
      <w:r w:rsidR="00D24FE3">
        <w:rPr>
          <w:sz w:val="22"/>
          <w:szCs w:val="22"/>
        </w:rPr>
        <w:t>Individuals</w:t>
      </w:r>
      <w:r w:rsidRPr="006F68EF">
        <w:rPr>
          <w:sz w:val="22"/>
          <w:szCs w:val="22"/>
        </w:rPr>
        <w:t xml:space="preserve"> are expected to move up the pay bands irrespective of gender. Medical and Dental </w:t>
      </w:r>
      <w:r w:rsidR="00D24FE3">
        <w:rPr>
          <w:sz w:val="22"/>
          <w:szCs w:val="22"/>
        </w:rPr>
        <w:t>colleagues</w:t>
      </w:r>
      <w:r w:rsidRPr="006F68EF">
        <w:rPr>
          <w:sz w:val="22"/>
          <w:szCs w:val="22"/>
        </w:rPr>
        <w:t xml:space="preserve"> have different sets of </w:t>
      </w:r>
      <w:r>
        <w:rPr>
          <w:sz w:val="22"/>
          <w:szCs w:val="22"/>
        </w:rPr>
        <w:t>T</w:t>
      </w:r>
      <w:r w:rsidRPr="006F68EF">
        <w:rPr>
          <w:sz w:val="22"/>
          <w:szCs w:val="22"/>
        </w:rPr>
        <w:t xml:space="preserve">erms and Conditions, depending on their seniority.  However, these too are set across </w:t>
      </w:r>
      <w:r w:rsidR="00DF3120" w:rsidRPr="006F68EF">
        <w:rPr>
          <w:sz w:val="22"/>
          <w:szCs w:val="22"/>
        </w:rPr>
        <w:t>several</w:t>
      </w:r>
      <w:r w:rsidRPr="006F68EF">
        <w:rPr>
          <w:sz w:val="22"/>
          <w:szCs w:val="22"/>
        </w:rPr>
        <w:t xml:space="preserve"> pay scales for basic pay, which have varying thresholds within them.</w:t>
      </w:r>
    </w:p>
    <w:p w14:paraId="68220AE8" w14:textId="77777777" w:rsidR="00480CAC" w:rsidRDefault="00480CAC" w:rsidP="006F68EF">
      <w:pPr>
        <w:pStyle w:val="Default"/>
        <w:rPr>
          <w:b/>
          <w:bCs/>
          <w:color w:val="000000" w:themeColor="text1"/>
          <w:sz w:val="22"/>
          <w:szCs w:val="22"/>
        </w:rPr>
      </w:pPr>
    </w:p>
    <w:p w14:paraId="24D40CD5" w14:textId="3E68848C" w:rsidR="006F68EF" w:rsidRPr="00507134" w:rsidRDefault="006F68EF" w:rsidP="006F68EF">
      <w:pPr>
        <w:pStyle w:val="Default"/>
        <w:rPr>
          <w:b/>
          <w:bCs/>
          <w:color w:val="000000" w:themeColor="text1"/>
          <w:sz w:val="22"/>
          <w:szCs w:val="22"/>
        </w:rPr>
      </w:pPr>
      <w:r w:rsidRPr="00507134">
        <w:rPr>
          <w:b/>
          <w:bCs/>
          <w:color w:val="000000" w:themeColor="text1"/>
          <w:sz w:val="22"/>
          <w:szCs w:val="22"/>
        </w:rPr>
        <w:t xml:space="preserve">Our Data </w:t>
      </w:r>
    </w:p>
    <w:p w14:paraId="7C0B14C2" w14:textId="5F9D15AC" w:rsidR="00C3143A" w:rsidRPr="00507134" w:rsidRDefault="00502CAE" w:rsidP="00DE46E7">
      <w:pPr>
        <w:pStyle w:val="Default"/>
        <w:rPr>
          <w:color w:val="000000" w:themeColor="text1"/>
          <w:sz w:val="22"/>
          <w:szCs w:val="22"/>
        </w:rPr>
      </w:pPr>
      <w:bookmarkStart w:id="0" w:name="_Hlk126938537"/>
      <w:r w:rsidRPr="00507134">
        <w:rPr>
          <w:color w:val="000000" w:themeColor="text1"/>
          <w:sz w:val="22"/>
          <w:szCs w:val="22"/>
        </w:rPr>
        <w:t>On 31 March 202</w:t>
      </w:r>
      <w:r w:rsidR="00BB356E">
        <w:rPr>
          <w:color w:val="000000" w:themeColor="text1"/>
          <w:sz w:val="22"/>
          <w:szCs w:val="22"/>
        </w:rPr>
        <w:t>2</w:t>
      </w:r>
      <w:r w:rsidR="009B1396" w:rsidRPr="00507134">
        <w:rPr>
          <w:color w:val="000000" w:themeColor="text1"/>
          <w:sz w:val="22"/>
          <w:szCs w:val="22"/>
        </w:rPr>
        <w:t xml:space="preserve">, the Trust employed a total of </w:t>
      </w:r>
      <w:r w:rsidR="00DD7B04">
        <w:rPr>
          <w:color w:val="000000" w:themeColor="text1"/>
          <w:sz w:val="22"/>
          <w:szCs w:val="22"/>
        </w:rPr>
        <w:t>6530</w:t>
      </w:r>
      <w:r w:rsidR="009B1396" w:rsidRPr="00507134">
        <w:rPr>
          <w:color w:val="000000" w:themeColor="text1"/>
          <w:sz w:val="22"/>
          <w:szCs w:val="22"/>
        </w:rPr>
        <w:t xml:space="preserve"> </w:t>
      </w:r>
      <w:r w:rsidR="00DD7B04">
        <w:rPr>
          <w:color w:val="000000" w:themeColor="text1"/>
          <w:sz w:val="22"/>
          <w:szCs w:val="22"/>
        </w:rPr>
        <w:t>people</w:t>
      </w:r>
      <w:r w:rsidR="00DD7B04" w:rsidRPr="00507134">
        <w:rPr>
          <w:color w:val="000000" w:themeColor="text1"/>
          <w:sz w:val="22"/>
          <w:szCs w:val="22"/>
        </w:rPr>
        <w:t xml:space="preserve"> </w:t>
      </w:r>
      <w:r w:rsidR="009B1396" w:rsidRPr="00507134">
        <w:rPr>
          <w:color w:val="000000" w:themeColor="text1"/>
          <w:sz w:val="22"/>
          <w:szCs w:val="22"/>
        </w:rPr>
        <w:t xml:space="preserve">including AFC, Medical and </w:t>
      </w:r>
      <w:r w:rsidR="00DE46E7" w:rsidRPr="00507134">
        <w:rPr>
          <w:color w:val="000000" w:themeColor="text1"/>
          <w:sz w:val="22"/>
          <w:szCs w:val="22"/>
        </w:rPr>
        <w:t>D</w:t>
      </w:r>
      <w:r w:rsidR="009B1396" w:rsidRPr="00507134">
        <w:rPr>
          <w:color w:val="000000" w:themeColor="text1"/>
          <w:sz w:val="22"/>
          <w:szCs w:val="22"/>
        </w:rPr>
        <w:t xml:space="preserve">ental </w:t>
      </w:r>
      <w:r w:rsidR="00CB6A7A">
        <w:rPr>
          <w:color w:val="000000" w:themeColor="text1"/>
          <w:sz w:val="22"/>
          <w:szCs w:val="22"/>
        </w:rPr>
        <w:t>colleagues</w:t>
      </w:r>
      <w:r w:rsidR="009B1396" w:rsidRPr="00507134">
        <w:rPr>
          <w:color w:val="000000" w:themeColor="text1"/>
          <w:sz w:val="22"/>
          <w:szCs w:val="22"/>
        </w:rPr>
        <w:t>.</w:t>
      </w:r>
      <w:r w:rsidR="00B54657" w:rsidRPr="00507134">
        <w:rPr>
          <w:color w:val="000000" w:themeColor="text1"/>
          <w:sz w:val="22"/>
          <w:szCs w:val="22"/>
        </w:rPr>
        <w:t xml:space="preserve"> </w:t>
      </w:r>
      <w:r w:rsidR="00DD7B04">
        <w:rPr>
          <w:color w:val="000000" w:themeColor="text1"/>
          <w:sz w:val="22"/>
          <w:szCs w:val="22"/>
        </w:rPr>
        <w:t>Of the 6530 people, 5338 are female and 1192 are male.</w:t>
      </w:r>
    </w:p>
    <w:bookmarkEnd w:id="0"/>
    <w:p w14:paraId="0C038E8A" w14:textId="7F7FF775" w:rsidR="00C56143" w:rsidRPr="00507134" w:rsidRDefault="00C56143" w:rsidP="00DE46E7">
      <w:pPr>
        <w:pStyle w:val="Default"/>
        <w:rPr>
          <w:color w:val="000000" w:themeColor="text1"/>
          <w:sz w:val="22"/>
          <w:szCs w:val="22"/>
        </w:rPr>
      </w:pPr>
    </w:p>
    <w:p w14:paraId="1C9E77AE" w14:textId="75CDAC90" w:rsidR="00C56143" w:rsidRDefault="00C56143" w:rsidP="00C56143">
      <w:pPr>
        <w:pStyle w:val="Default"/>
        <w:jc w:val="both"/>
        <w:rPr>
          <w:color w:val="000000" w:themeColor="text1"/>
          <w:sz w:val="22"/>
          <w:szCs w:val="22"/>
        </w:rPr>
      </w:pPr>
      <w:r w:rsidRPr="00507134">
        <w:rPr>
          <w:color w:val="000000" w:themeColor="text1"/>
          <w:sz w:val="22"/>
          <w:szCs w:val="22"/>
        </w:rPr>
        <w:t xml:space="preserve">The table below reflects the overall numbers of Full Time Equivalent (FTE) males and females in each quartile.  </w:t>
      </w:r>
    </w:p>
    <w:p w14:paraId="6E621469" w14:textId="77777777" w:rsidR="00DD7B04" w:rsidRDefault="00DD7B04" w:rsidP="00C56143">
      <w:pPr>
        <w:pStyle w:val="Default"/>
        <w:jc w:val="both"/>
        <w:rPr>
          <w:b/>
          <w:color w:val="000000" w:themeColor="text1"/>
        </w:rPr>
      </w:pPr>
    </w:p>
    <w:p w14:paraId="066219BE" w14:textId="04127207" w:rsidR="00C56143" w:rsidRDefault="00C56143" w:rsidP="00C56143">
      <w:pPr>
        <w:pStyle w:val="Default"/>
        <w:spacing w:after="60"/>
        <w:jc w:val="both"/>
        <w:rPr>
          <w:b/>
          <w:color w:val="000000" w:themeColor="text1"/>
        </w:rPr>
      </w:pPr>
      <w:r>
        <w:rPr>
          <w:b/>
          <w:color w:val="000000" w:themeColor="text1"/>
        </w:rPr>
        <w:t>Proportion of FTE Males a</w:t>
      </w:r>
      <w:r w:rsidR="00FB1656">
        <w:rPr>
          <w:b/>
          <w:color w:val="000000" w:themeColor="text1"/>
        </w:rPr>
        <w:t>nd Females in each pay quartile</w:t>
      </w:r>
    </w:p>
    <w:p w14:paraId="52AD2FB6" w14:textId="59EB6796" w:rsidR="00BB356E" w:rsidRDefault="00BB356E" w:rsidP="00C56143">
      <w:pPr>
        <w:pStyle w:val="Default"/>
        <w:spacing w:after="60"/>
        <w:jc w:val="both"/>
        <w:rPr>
          <w:b/>
          <w:color w:val="000000" w:themeColor="text1"/>
        </w:rPr>
      </w:pPr>
      <w:r>
        <w:rPr>
          <w:b/>
          <w:color w:val="000000" w:themeColor="text1"/>
        </w:rPr>
        <w:t>2022</w:t>
      </w:r>
    </w:p>
    <w:tbl>
      <w:tblPr>
        <w:tblW w:w="4000" w:type="dxa"/>
        <w:tblLook w:val="04A0" w:firstRow="1" w:lastRow="0" w:firstColumn="1" w:lastColumn="0" w:noHBand="0" w:noVBand="1"/>
      </w:tblPr>
      <w:tblGrid>
        <w:gridCol w:w="1031"/>
        <w:gridCol w:w="759"/>
        <w:gridCol w:w="873"/>
        <w:gridCol w:w="699"/>
        <w:gridCol w:w="638"/>
      </w:tblGrid>
      <w:tr w:rsidR="00BB356E" w:rsidRPr="00BB356E" w14:paraId="17D15381" w14:textId="77777777" w:rsidTr="00BB356E">
        <w:trPr>
          <w:trHeight w:val="450"/>
        </w:trPr>
        <w:tc>
          <w:tcPr>
            <w:tcW w:w="1040" w:type="dxa"/>
            <w:tcBorders>
              <w:top w:val="single" w:sz="4" w:space="0" w:color="auto"/>
              <w:left w:val="single" w:sz="4" w:space="0" w:color="auto"/>
              <w:bottom w:val="single" w:sz="4" w:space="0" w:color="auto"/>
              <w:right w:val="single" w:sz="4" w:space="0" w:color="auto"/>
            </w:tcBorders>
            <w:shd w:val="clear" w:color="000000" w:fill="0066CC"/>
            <w:hideMark/>
          </w:tcPr>
          <w:p w14:paraId="31CC3BAD" w14:textId="77777777" w:rsidR="00BB356E" w:rsidRPr="00BB356E" w:rsidRDefault="00BB356E" w:rsidP="00BB356E">
            <w:pPr>
              <w:spacing w:after="0" w:line="240" w:lineRule="auto"/>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Quartile</w:t>
            </w:r>
          </w:p>
        </w:tc>
        <w:tc>
          <w:tcPr>
            <w:tcW w:w="760" w:type="dxa"/>
            <w:tcBorders>
              <w:top w:val="single" w:sz="4" w:space="0" w:color="auto"/>
              <w:left w:val="nil"/>
              <w:bottom w:val="single" w:sz="4" w:space="0" w:color="auto"/>
              <w:right w:val="single" w:sz="4" w:space="0" w:color="auto"/>
            </w:tcBorders>
            <w:shd w:val="clear" w:color="000000" w:fill="0066CC"/>
            <w:hideMark/>
          </w:tcPr>
          <w:p w14:paraId="031A3983" w14:textId="77777777" w:rsidR="00BB356E" w:rsidRPr="00BB356E" w:rsidRDefault="00BB356E" w:rsidP="00BB356E">
            <w:pPr>
              <w:spacing w:after="0" w:line="240" w:lineRule="auto"/>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Female</w:t>
            </w:r>
          </w:p>
        </w:tc>
        <w:tc>
          <w:tcPr>
            <w:tcW w:w="880" w:type="dxa"/>
            <w:tcBorders>
              <w:top w:val="single" w:sz="4" w:space="0" w:color="auto"/>
              <w:left w:val="nil"/>
              <w:bottom w:val="single" w:sz="4" w:space="0" w:color="auto"/>
              <w:right w:val="single" w:sz="4" w:space="0" w:color="auto"/>
            </w:tcBorders>
            <w:shd w:val="clear" w:color="000000" w:fill="0066CC"/>
            <w:hideMark/>
          </w:tcPr>
          <w:p w14:paraId="201D0C04" w14:textId="77777777" w:rsidR="00BB356E" w:rsidRPr="00BB356E" w:rsidRDefault="00BB356E" w:rsidP="00BB356E">
            <w:pPr>
              <w:spacing w:after="0" w:line="240" w:lineRule="auto"/>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Male</w:t>
            </w:r>
          </w:p>
        </w:tc>
        <w:tc>
          <w:tcPr>
            <w:tcW w:w="680" w:type="dxa"/>
            <w:tcBorders>
              <w:top w:val="single" w:sz="4" w:space="0" w:color="auto"/>
              <w:left w:val="nil"/>
              <w:bottom w:val="single" w:sz="4" w:space="0" w:color="auto"/>
              <w:right w:val="single" w:sz="4" w:space="0" w:color="auto"/>
            </w:tcBorders>
            <w:shd w:val="clear" w:color="000000" w:fill="0066CC"/>
            <w:hideMark/>
          </w:tcPr>
          <w:p w14:paraId="1562BC7E" w14:textId="77777777" w:rsidR="00BB356E" w:rsidRPr="00BB356E" w:rsidRDefault="00BB356E" w:rsidP="00BB356E">
            <w:pPr>
              <w:spacing w:after="0" w:line="240" w:lineRule="auto"/>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Female %</w:t>
            </w:r>
          </w:p>
        </w:tc>
        <w:tc>
          <w:tcPr>
            <w:tcW w:w="640" w:type="dxa"/>
            <w:tcBorders>
              <w:top w:val="single" w:sz="4" w:space="0" w:color="auto"/>
              <w:left w:val="nil"/>
              <w:bottom w:val="single" w:sz="4" w:space="0" w:color="auto"/>
              <w:right w:val="single" w:sz="8" w:space="0" w:color="auto"/>
            </w:tcBorders>
            <w:shd w:val="clear" w:color="000000" w:fill="0066CC"/>
            <w:hideMark/>
          </w:tcPr>
          <w:p w14:paraId="07E5D963" w14:textId="77777777" w:rsidR="00BB356E" w:rsidRPr="00BB356E" w:rsidRDefault="00BB356E" w:rsidP="00BB356E">
            <w:pPr>
              <w:spacing w:after="0" w:line="240" w:lineRule="auto"/>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Male %</w:t>
            </w:r>
          </w:p>
        </w:tc>
      </w:tr>
      <w:tr w:rsidR="00BB356E" w:rsidRPr="00BB356E" w14:paraId="06E07ABC" w14:textId="77777777" w:rsidTr="00BB356E">
        <w:trPr>
          <w:trHeight w:val="300"/>
        </w:trPr>
        <w:tc>
          <w:tcPr>
            <w:tcW w:w="1040" w:type="dxa"/>
            <w:tcBorders>
              <w:top w:val="nil"/>
              <w:left w:val="single" w:sz="4" w:space="0" w:color="auto"/>
              <w:bottom w:val="single" w:sz="4" w:space="0" w:color="auto"/>
              <w:right w:val="single" w:sz="4" w:space="0" w:color="auto"/>
            </w:tcBorders>
            <w:shd w:val="clear" w:color="000000" w:fill="0066CC"/>
            <w:hideMark/>
          </w:tcPr>
          <w:p w14:paraId="547D399A" w14:textId="77777777" w:rsidR="00BB356E" w:rsidRPr="00BB356E" w:rsidRDefault="00BB356E" w:rsidP="00BB356E">
            <w:pPr>
              <w:spacing w:after="0" w:line="240" w:lineRule="auto"/>
              <w:jc w:val="right"/>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1</w:t>
            </w:r>
          </w:p>
        </w:tc>
        <w:tc>
          <w:tcPr>
            <w:tcW w:w="760" w:type="dxa"/>
            <w:tcBorders>
              <w:top w:val="single" w:sz="4" w:space="0" w:color="979991"/>
              <w:left w:val="single" w:sz="4" w:space="0" w:color="979991"/>
              <w:bottom w:val="single" w:sz="4" w:space="0" w:color="979991"/>
              <w:right w:val="nil"/>
            </w:tcBorders>
            <w:shd w:val="clear" w:color="000000" w:fill="FFFFFF"/>
            <w:hideMark/>
          </w:tcPr>
          <w:p w14:paraId="6317BC8F"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1382.00</w:t>
            </w:r>
          </w:p>
        </w:tc>
        <w:tc>
          <w:tcPr>
            <w:tcW w:w="880" w:type="dxa"/>
            <w:tcBorders>
              <w:top w:val="single" w:sz="4" w:space="0" w:color="979991"/>
              <w:left w:val="single" w:sz="4" w:space="0" w:color="979991"/>
              <w:bottom w:val="single" w:sz="4" w:space="0" w:color="979991"/>
              <w:right w:val="nil"/>
            </w:tcBorders>
            <w:shd w:val="clear" w:color="000000" w:fill="FFFFFF"/>
            <w:hideMark/>
          </w:tcPr>
          <w:p w14:paraId="20A99E35"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195.00</w:t>
            </w:r>
          </w:p>
        </w:tc>
        <w:tc>
          <w:tcPr>
            <w:tcW w:w="680" w:type="dxa"/>
            <w:tcBorders>
              <w:top w:val="single" w:sz="4" w:space="0" w:color="979991"/>
              <w:left w:val="single" w:sz="4" w:space="0" w:color="979991"/>
              <w:bottom w:val="single" w:sz="4" w:space="0" w:color="979991"/>
              <w:right w:val="nil"/>
            </w:tcBorders>
            <w:shd w:val="clear" w:color="000000" w:fill="FFFFFF"/>
            <w:hideMark/>
          </w:tcPr>
          <w:p w14:paraId="26270C15"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87.63</w:t>
            </w:r>
          </w:p>
        </w:tc>
        <w:tc>
          <w:tcPr>
            <w:tcW w:w="640" w:type="dxa"/>
            <w:tcBorders>
              <w:top w:val="single" w:sz="4" w:space="0" w:color="979991"/>
              <w:left w:val="single" w:sz="4" w:space="0" w:color="979991"/>
              <w:bottom w:val="single" w:sz="4" w:space="0" w:color="979991"/>
              <w:right w:val="single" w:sz="4" w:space="0" w:color="979991"/>
            </w:tcBorders>
            <w:shd w:val="clear" w:color="000000" w:fill="FFFFFF"/>
            <w:hideMark/>
          </w:tcPr>
          <w:p w14:paraId="43073747"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12.37</w:t>
            </w:r>
          </w:p>
        </w:tc>
      </w:tr>
      <w:tr w:rsidR="00BB356E" w:rsidRPr="00BB356E" w14:paraId="777DC497" w14:textId="77777777" w:rsidTr="00BB356E">
        <w:trPr>
          <w:trHeight w:val="300"/>
        </w:trPr>
        <w:tc>
          <w:tcPr>
            <w:tcW w:w="1040" w:type="dxa"/>
            <w:tcBorders>
              <w:top w:val="nil"/>
              <w:left w:val="single" w:sz="4" w:space="0" w:color="auto"/>
              <w:bottom w:val="single" w:sz="4" w:space="0" w:color="auto"/>
              <w:right w:val="single" w:sz="4" w:space="0" w:color="auto"/>
            </w:tcBorders>
            <w:shd w:val="clear" w:color="000000" w:fill="0066CC"/>
            <w:hideMark/>
          </w:tcPr>
          <w:p w14:paraId="6CD12CE6" w14:textId="77777777" w:rsidR="00BB356E" w:rsidRPr="00BB356E" w:rsidRDefault="00BB356E" w:rsidP="00BB356E">
            <w:pPr>
              <w:spacing w:after="0" w:line="240" w:lineRule="auto"/>
              <w:jc w:val="right"/>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2</w:t>
            </w:r>
          </w:p>
        </w:tc>
        <w:tc>
          <w:tcPr>
            <w:tcW w:w="760" w:type="dxa"/>
            <w:tcBorders>
              <w:top w:val="nil"/>
              <w:left w:val="single" w:sz="4" w:space="0" w:color="979991"/>
              <w:bottom w:val="single" w:sz="4" w:space="0" w:color="979991"/>
              <w:right w:val="nil"/>
            </w:tcBorders>
            <w:shd w:val="clear" w:color="000000" w:fill="FFFFFF"/>
            <w:hideMark/>
          </w:tcPr>
          <w:p w14:paraId="2FB47302"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1419.00</w:t>
            </w:r>
          </w:p>
        </w:tc>
        <w:tc>
          <w:tcPr>
            <w:tcW w:w="880" w:type="dxa"/>
            <w:tcBorders>
              <w:top w:val="nil"/>
              <w:left w:val="single" w:sz="4" w:space="0" w:color="979991"/>
              <w:bottom w:val="single" w:sz="4" w:space="0" w:color="979991"/>
              <w:right w:val="nil"/>
            </w:tcBorders>
            <w:shd w:val="clear" w:color="000000" w:fill="FFFFFF"/>
            <w:hideMark/>
          </w:tcPr>
          <w:p w14:paraId="38ACEC84"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226.00</w:t>
            </w:r>
          </w:p>
        </w:tc>
        <w:tc>
          <w:tcPr>
            <w:tcW w:w="680" w:type="dxa"/>
            <w:tcBorders>
              <w:top w:val="nil"/>
              <w:left w:val="single" w:sz="4" w:space="0" w:color="979991"/>
              <w:bottom w:val="single" w:sz="4" w:space="0" w:color="979991"/>
              <w:right w:val="nil"/>
            </w:tcBorders>
            <w:shd w:val="clear" w:color="000000" w:fill="FFFFFF"/>
            <w:hideMark/>
          </w:tcPr>
          <w:p w14:paraId="5CFA6728"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86.26</w:t>
            </w:r>
          </w:p>
        </w:tc>
        <w:tc>
          <w:tcPr>
            <w:tcW w:w="640" w:type="dxa"/>
            <w:tcBorders>
              <w:top w:val="nil"/>
              <w:left w:val="single" w:sz="4" w:space="0" w:color="979991"/>
              <w:bottom w:val="single" w:sz="4" w:space="0" w:color="979991"/>
              <w:right w:val="single" w:sz="4" w:space="0" w:color="979991"/>
            </w:tcBorders>
            <w:shd w:val="clear" w:color="000000" w:fill="FFFFFF"/>
            <w:hideMark/>
          </w:tcPr>
          <w:p w14:paraId="0D545641"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13.74</w:t>
            </w:r>
          </w:p>
        </w:tc>
      </w:tr>
      <w:tr w:rsidR="00BB356E" w:rsidRPr="00BB356E" w14:paraId="4335F510" w14:textId="77777777" w:rsidTr="00BB356E">
        <w:trPr>
          <w:trHeight w:val="300"/>
        </w:trPr>
        <w:tc>
          <w:tcPr>
            <w:tcW w:w="1040" w:type="dxa"/>
            <w:tcBorders>
              <w:top w:val="nil"/>
              <w:left w:val="single" w:sz="4" w:space="0" w:color="auto"/>
              <w:bottom w:val="single" w:sz="4" w:space="0" w:color="auto"/>
              <w:right w:val="single" w:sz="4" w:space="0" w:color="auto"/>
            </w:tcBorders>
            <w:shd w:val="clear" w:color="000000" w:fill="0066CC"/>
            <w:hideMark/>
          </w:tcPr>
          <w:p w14:paraId="2EEBD1EA" w14:textId="77777777" w:rsidR="00BB356E" w:rsidRPr="00BB356E" w:rsidRDefault="00BB356E" w:rsidP="00BB356E">
            <w:pPr>
              <w:spacing w:after="0" w:line="240" w:lineRule="auto"/>
              <w:jc w:val="right"/>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3</w:t>
            </w:r>
          </w:p>
        </w:tc>
        <w:tc>
          <w:tcPr>
            <w:tcW w:w="760" w:type="dxa"/>
            <w:tcBorders>
              <w:top w:val="nil"/>
              <w:left w:val="single" w:sz="4" w:space="0" w:color="979991"/>
              <w:bottom w:val="single" w:sz="4" w:space="0" w:color="979991"/>
              <w:right w:val="nil"/>
            </w:tcBorders>
            <w:shd w:val="clear" w:color="000000" w:fill="FFFFFF"/>
            <w:hideMark/>
          </w:tcPr>
          <w:p w14:paraId="27E0B7A1"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1397.00</w:t>
            </w:r>
          </w:p>
        </w:tc>
        <w:tc>
          <w:tcPr>
            <w:tcW w:w="880" w:type="dxa"/>
            <w:tcBorders>
              <w:top w:val="nil"/>
              <w:left w:val="single" w:sz="4" w:space="0" w:color="979991"/>
              <w:bottom w:val="single" w:sz="4" w:space="0" w:color="979991"/>
              <w:right w:val="nil"/>
            </w:tcBorders>
            <w:shd w:val="clear" w:color="000000" w:fill="FFFFFF"/>
            <w:hideMark/>
          </w:tcPr>
          <w:p w14:paraId="72F1691C"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216.00</w:t>
            </w:r>
          </w:p>
        </w:tc>
        <w:tc>
          <w:tcPr>
            <w:tcW w:w="680" w:type="dxa"/>
            <w:tcBorders>
              <w:top w:val="nil"/>
              <w:left w:val="single" w:sz="4" w:space="0" w:color="979991"/>
              <w:bottom w:val="single" w:sz="4" w:space="0" w:color="979991"/>
              <w:right w:val="nil"/>
            </w:tcBorders>
            <w:shd w:val="clear" w:color="000000" w:fill="FFFFFF"/>
            <w:hideMark/>
          </w:tcPr>
          <w:p w14:paraId="325A5E45"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86.61</w:t>
            </w:r>
          </w:p>
        </w:tc>
        <w:tc>
          <w:tcPr>
            <w:tcW w:w="640" w:type="dxa"/>
            <w:tcBorders>
              <w:top w:val="nil"/>
              <w:left w:val="single" w:sz="4" w:space="0" w:color="979991"/>
              <w:bottom w:val="single" w:sz="4" w:space="0" w:color="979991"/>
              <w:right w:val="single" w:sz="4" w:space="0" w:color="979991"/>
            </w:tcBorders>
            <w:shd w:val="clear" w:color="000000" w:fill="FFFFFF"/>
            <w:hideMark/>
          </w:tcPr>
          <w:p w14:paraId="4FDF43B9"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13.39</w:t>
            </w:r>
          </w:p>
        </w:tc>
      </w:tr>
      <w:tr w:rsidR="00BB356E" w:rsidRPr="00BB356E" w14:paraId="5F66FA1F" w14:textId="77777777" w:rsidTr="00BB356E">
        <w:trPr>
          <w:trHeight w:val="300"/>
        </w:trPr>
        <w:tc>
          <w:tcPr>
            <w:tcW w:w="1040" w:type="dxa"/>
            <w:tcBorders>
              <w:top w:val="nil"/>
              <w:left w:val="single" w:sz="4" w:space="0" w:color="auto"/>
              <w:bottom w:val="single" w:sz="4" w:space="0" w:color="auto"/>
              <w:right w:val="single" w:sz="4" w:space="0" w:color="auto"/>
            </w:tcBorders>
            <w:shd w:val="clear" w:color="000000" w:fill="0066CC"/>
            <w:hideMark/>
          </w:tcPr>
          <w:p w14:paraId="08072D06" w14:textId="77777777" w:rsidR="00BB356E" w:rsidRPr="00BB356E" w:rsidRDefault="00BB356E" w:rsidP="00BB356E">
            <w:pPr>
              <w:spacing w:after="0" w:line="240" w:lineRule="auto"/>
              <w:jc w:val="right"/>
              <w:rPr>
                <w:rFonts w:ascii="Calibri" w:eastAsia="Times New Roman" w:hAnsi="Calibri" w:cs="Calibri"/>
                <w:b/>
                <w:bCs/>
                <w:color w:val="FFFFFF"/>
                <w:sz w:val="16"/>
                <w:szCs w:val="16"/>
                <w:lang w:eastAsia="en-GB"/>
              </w:rPr>
            </w:pPr>
            <w:r w:rsidRPr="00BB356E">
              <w:rPr>
                <w:rFonts w:ascii="Calibri" w:eastAsia="Times New Roman" w:hAnsi="Calibri" w:cs="Calibri"/>
                <w:b/>
                <w:bCs/>
                <w:color w:val="FFFFFF"/>
                <w:sz w:val="16"/>
                <w:szCs w:val="16"/>
                <w:lang w:eastAsia="en-GB"/>
              </w:rPr>
              <w:t>4</w:t>
            </w:r>
          </w:p>
        </w:tc>
        <w:tc>
          <w:tcPr>
            <w:tcW w:w="760" w:type="dxa"/>
            <w:tcBorders>
              <w:top w:val="nil"/>
              <w:left w:val="single" w:sz="4" w:space="0" w:color="979991"/>
              <w:bottom w:val="single" w:sz="4" w:space="0" w:color="979991"/>
              <w:right w:val="nil"/>
            </w:tcBorders>
            <w:shd w:val="clear" w:color="000000" w:fill="FFFFFF"/>
            <w:hideMark/>
          </w:tcPr>
          <w:p w14:paraId="1656FA3A"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1068.00</w:t>
            </w:r>
          </w:p>
        </w:tc>
        <w:tc>
          <w:tcPr>
            <w:tcW w:w="880" w:type="dxa"/>
            <w:tcBorders>
              <w:top w:val="nil"/>
              <w:left w:val="single" w:sz="4" w:space="0" w:color="979991"/>
              <w:bottom w:val="single" w:sz="4" w:space="0" w:color="979991"/>
              <w:right w:val="nil"/>
            </w:tcBorders>
            <w:shd w:val="clear" w:color="000000" w:fill="FFFFFF"/>
            <w:hideMark/>
          </w:tcPr>
          <w:p w14:paraId="21CA3BA5"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545.00</w:t>
            </w:r>
          </w:p>
        </w:tc>
        <w:tc>
          <w:tcPr>
            <w:tcW w:w="680" w:type="dxa"/>
            <w:tcBorders>
              <w:top w:val="nil"/>
              <w:left w:val="single" w:sz="4" w:space="0" w:color="979991"/>
              <w:bottom w:val="single" w:sz="4" w:space="0" w:color="979991"/>
              <w:right w:val="nil"/>
            </w:tcBorders>
            <w:shd w:val="clear" w:color="000000" w:fill="FFFFFF"/>
            <w:hideMark/>
          </w:tcPr>
          <w:p w14:paraId="665EE1BC"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66.21</w:t>
            </w:r>
          </w:p>
        </w:tc>
        <w:tc>
          <w:tcPr>
            <w:tcW w:w="640" w:type="dxa"/>
            <w:tcBorders>
              <w:top w:val="nil"/>
              <w:left w:val="single" w:sz="4" w:space="0" w:color="979991"/>
              <w:bottom w:val="single" w:sz="4" w:space="0" w:color="979991"/>
              <w:right w:val="single" w:sz="4" w:space="0" w:color="979991"/>
            </w:tcBorders>
            <w:shd w:val="clear" w:color="000000" w:fill="FFFFFF"/>
            <w:hideMark/>
          </w:tcPr>
          <w:p w14:paraId="6106DD5C" w14:textId="77777777" w:rsidR="00BB356E" w:rsidRPr="00BB356E" w:rsidRDefault="00BB356E" w:rsidP="00BB356E">
            <w:pPr>
              <w:spacing w:after="0" w:line="240" w:lineRule="auto"/>
              <w:jc w:val="right"/>
              <w:rPr>
                <w:rFonts w:ascii="Calibri" w:eastAsia="Times New Roman" w:hAnsi="Calibri" w:cs="Calibri"/>
                <w:color w:val="000000"/>
                <w:sz w:val="16"/>
                <w:szCs w:val="16"/>
                <w:lang w:eastAsia="en-GB"/>
              </w:rPr>
            </w:pPr>
            <w:r w:rsidRPr="00BB356E">
              <w:rPr>
                <w:rFonts w:ascii="Calibri" w:eastAsia="Times New Roman" w:hAnsi="Calibri" w:cs="Calibri"/>
                <w:color w:val="000000"/>
                <w:sz w:val="16"/>
                <w:szCs w:val="16"/>
                <w:lang w:eastAsia="en-GB"/>
              </w:rPr>
              <w:t>33.79</w:t>
            </w:r>
          </w:p>
        </w:tc>
      </w:tr>
    </w:tbl>
    <w:p w14:paraId="7C5787F1" w14:textId="6643987D" w:rsidR="00247B3D" w:rsidRDefault="00247B3D" w:rsidP="00C56143">
      <w:pPr>
        <w:pStyle w:val="Default"/>
        <w:spacing w:after="60"/>
        <w:jc w:val="both"/>
        <w:rPr>
          <w:b/>
          <w:color w:val="000000" w:themeColor="text1"/>
        </w:rPr>
      </w:pPr>
      <w:r>
        <w:rPr>
          <w:b/>
          <w:color w:val="000000" w:themeColor="text1"/>
        </w:rPr>
        <w:t>Gender Pay Gap Percentage</w:t>
      </w:r>
    </w:p>
    <w:p w14:paraId="5F935A6E" w14:textId="2DAB612F" w:rsidR="00247B3D" w:rsidRPr="00990F54" w:rsidRDefault="000172D0" w:rsidP="00C56143">
      <w:pPr>
        <w:pStyle w:val="Default"/>
        <w:spacing w:after="60"/>
        <w:jc w:val="both"/>
        <w:rPr>
          <w:bCs/>
          <w:color w:val="000000" w:themeColor="text1"/>
          <w:sz w:val="22"/>
          <w:szCs w:val="22"/>
        </w:rPr>
      </w:pPr>
      <w:r w:rsidRPr="00990F54">
        <w:rPr>
          <w:bCs/>
          <w:color w:val="000000" w:themeColor="text1"/>
          <w:sz w:val="22"/>
          <w:szCs w:val="22"/>
        </w:rPr>
        <w:t xml:space="preserve">To calculate your organisation wide </w:t>
      </w:r>
      <w:proofErr w:type="gramStart"/>
      <w:r w:rsidRPr="00990F54">
        <w:rPr>
          <w:bCs/>
          <w:color w:val="000000" w:themeColor="text1"/>
          <w:sz w:val="22"/>
          <w:szCs w:val="22"/>
        </w:rPr>
        <w:t>gender</w:t>
      </w:r>
      <w:proofErr w:type="gramEnd"/>
      <w:r w:rsidRPr="00990F54">
        <w:rPr>
          <w:bCs/>
          <w:color w:val="000000" w:themeColor="text1"/>
          <w:sz w:val="22"/>
          <w:szCs w:val="22"/>
        </w:rPr>
        <w:t xml:space="preserve"> pay gap the average total remuneration of all male employees is compared to the average total remuneration of female employees. A pay gap which is positive (</w:t>
      </w:r>
      <w:proofErr w:type="gramStart"/>
      <w:r w:rsidRPr="00990F54">
        <w:rPr>
          <w:bCs/>
          <w:color w:val="000000" w:themeColor="text1"/>
          <w:sz w:val="22"/>
          <w:szCs w:val="22"/>
        </w:rPr>
        <w:t>e.g.</w:t>
      </w:r>
      <w:proofErr w:type="gramEnd"/>
      <w:r w:rsidRPr="00990F54">
        <w:rPr>
          <w:bCs/>
          <w:color w:val="000000" w:themeColor="text1"/>
          <w:sz w:val="22"/>
          <w:szCs w:val="22"/>
        </w:rPr>
        <w:t xml:space="preserve"> 10%) indicates an inequality in earnings that favours male employees on average. </w:t>
      </w:r>
      <w:r w:rsidR="00247B3D" w:rsidRPr="00990F54">
        <w:rPr>
          <w:bCs/>
          <w:color w:val="000000" w:themeColor="text1"/>
          <w:sz w:val="22"/>
          <w:szCs w:val="22"/>
        </w:rPr>
        <w:t>The percentage gender pay gap is in favour of males for both average hourly rate and median hourly rate.</w:t>
      </w:r>
      <w:r w:rsidR="00A57686" w:rsidRPr="00990F54">
        <w:rPr>
          <w:bCs/>
          <w:color w:val="000000" w:themeColor="text1"/>
          <w:sz w:val="22"/>
          <w:szCs w:val="22"/>
        </w:rPr>
        <w:t xml:space="preserve"> The Difference between the </w:t>
      </w:r>
      <w:r w:rsidR="00480CAC" w:rsidRPr="00990F54">
        <w:rPr>
          <w:bCs/>
          <w:color w:val="000000" w:themeColor="text1"/>
          <w:sz w:val="22"/>
          <w:szCs w:val="22"/>
        </w:rPr>
        <w:t xml:space="preserve">average </w:t>
      </w:r>
      <w:r w:rsidR="00A57686" w:rsidRPr="00990F54">
        <w:rPr>
          <w:bCs/>
          <w:color w:val="000000" w:themeColor="text1"/>
          <w:sz w:val="22"/>
          <w:szCs w:val="22"/>
        </w:rPr>
        <w:t>hourly</w:t>
      </w:r>
      <w:r w:rsidR="00480CAC" w:rsidRPr="00990F54">
        <w:rPr>
          <w:bCs/>
          <w:color w:val="000000" w:themeColor="text1"/>
          <w:sz w:val="22"/>
          <w:szCs w:val="22"/>
        </w:rPr>
        <w:t xml:space="preserve"> rates for male and female is</w:t>
      </w:r>
      <w:r w:rsidR="00A57686" w:rsidRPr="00990F54">
        <w:rPr>
          <w:bCs/>
          <w:color w:val="000000" w:themeColor="text1"/>
          <w:sz w:val="22"/>
          <w:szCs w:val="22"/>
        </w:rPr>
        <w:t xml:space="preserve"> £</w:t>
      </w:r>
      <w:r w:rsidR="00480CAC" w:rsidRPr="00990F54">
        <w:rPr>
          <w:bCs/>
          <w:color w:val="000000" w:themeColor="text1"/>
          <w:sz w:val="22"/>
          <w:szCs w:val="22"/>
        </w:rPr>
        <w:t xml:space="preserve">8.50 which equates to 34.77 % </w:t>
      </w:r>
    </w:p>
    <w:tbl>
      <w:tblPr>
        <w:tblW w:w="4300" w:type="dxa"/>
        <w:tblLook w:val="04A0" w:firstRow="1" w:lastRow="0" w:firstColumn="1" w:lastColumn="0" w:noHBand="0" w:noVBand="1"/>
      </w:tblPr>
      <w:tblGrid>
        <w:gridCol w:w="1120"/>
        <w:gridCol w:w="1540"/>
        <w:gridCol w:w="1640"/>
      </w:tblGrid>
      <w:tr w:rsidR="00247B3D" w:rsidRPr="00247B3D" w14:paraId="280D549B" w14:textId="77777777" w:rsidTr="00247B3D">
        <w:trPr>
          <w:trHeight w:val="450"/>
        </w:trPr>
        <w:tc>
          <w:tcPr>
            <w:tcW w:w="1120" w:type="dxa"/>
            <w:tcBorders>
              <w:top w:val="single" w:sz="4" w:space="0" w:color="auto"/>
              <w:left w:val="single" w:sz="8" w:space="0" w:color="auto"/>
              <w:bottom w:val="single" w:sz="4" w:space="0" w:color="auto"/>
              <w:right w:val="single" w:sz="4" w:space="0" w:color="auto"/>
            </w:tcBorders>
            <w:shd w:val="clear" w:color="000000" w:fill="0066CC"/>
            <w:hideMark/>
          </w:tcPr>
          <w:p w14:paraId="49B49DA7"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Gender</w:t>
            </w:r>
          </w:p>
        </w:tc>
        <w:tc>
          <w:tcPr>
            <w:tcW w:w="1540" w:type="dxa"/>
            <w:tcBorders>
              <w:top w:val="single" w:sz="4" w:space="0" w:color="auto"/>
              <w:left w:val="nil"/>
              <w:bottom w:val="single" w:sz="4" w:space="0" w:color="auto"/>
              <w:right w:val="single" w:sz="4" w:space="0" w:color="auto"/>
            </w:tcBorders>
            <w:shd w:val="clear" w:color="000000" w:fill="0066CC"/>
            <w:hideMark/>
          </w:tcPr>
          <w:p w14:paraId="3110F2A6"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Avg. Hourly Rate</w:t>
            </w:r>
          </w:p>
        </w:tc>
        <w:tc>
          <w:tcPr>
            <w:tcW w:w="1640" w:type="dxa"/>
            <w:tcBorders>
              <w:top w:val="single" w:sz="4" w:space="0" w:color="auto"/>
              <w:left w:val="nil"/>
              <w:bottom w:val="single" w:sz="4" w:space="0" w:color="auto"/>
              <w:right w:val="single" w:sz="4" w:space="0" w:color="auto"/>
            </w:tcBorders>
            <w:shd w:val="clear" w:color="000000" w:fill="0066CC"/>
            <w:hideMark/>
          </w:tcPr>
          <w:p w14:paraId="7239A21E"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Median Hourly Rate</w:t>
            </w:r>
          </w:p>
        </w:tc>
      </w:tr>
      <w:tr w:rsidR="00247B3D" w:rsidRPr="00247B3D" w14:paraId="47ED58FD" w14:textId="77777777" w:rsidTr="00247B3D">
        <w:trPr>
          <w:trHeight w:val="300"/>
        </w:trPr>
        <w:tc>
          <w:tcPr>
            <w:tcW w:w="1120" w:type="dxa"/>
            <w:tcBorders>
              <w:top w:val="nil"/>
              <w:left w:val="single" w:sz="8" w:space="0" w:color="auto"/>
              <w:bottom w:val="single" w:sz="4" w:space="0" w:color="auto"/>
              <w:right w:val="single" w:sz="4" w:space="0" w:color="auto"/>
            </w:tcBorders>
            <w:shd w:val="clear" w:color="000000" w:fill="0066CC"/>
            <w:hideMark/>
          </w:tcPr>
          <w:p w14:paraId="227393F4"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Male</w:t>
            </w:r>
          </w:p>
        </w:tc>
        <w:tc>
          <w:tcPr>
            <w:tcW w:w="1540" w:type="dxa"/>
            <w:tcBorders>
              <w:top w:val="single" w:sz="4" w:space="0" w:color="979991"/>
              <w:left w:val="single" w:sz="4" w:space="0" w:color="979991"/>
              <w:bottom w:val="single" w:sz="4" w:space="0" w:color="979991"/>
              <w:right w:val="nil"/>
            </w:tcBorders>
            <w:shd w:val="clear" w:color="000000" w:fill="FFFFFF"/>
            <w:hideMark/>
          </w:tcPr>
          <w:p w14:paraId="46FFC2B8" w14:textId="77777777"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24.4636</w:t>
            </w:r>
          </w:p>
        </w:tc>
        <w:tc>
          <w:tcPr>
            <w:tcW w:w="1640" w:type="dxa"/>
            <w:tcBorders>
              <w:top w:val="single" w:sz="4" w:space="0" w:color="979991"/>
              <w:left w:val="single" w:sz="4" w:space="0" w:color="979991"/>
              <w:bottom w:val="single" w:sz="4" w:space="0" w:color="979991"/>
              <w:right w:val="single" w:sz="4" w:space="0" w:color="979991"/>
            </w:tcBorders>
            <w:shd w:val="clear" w:color="000000" w:fill="FFFFFF"/>
            <w:hideMark/>
          </w:tcPr>
          <w:p w14:paraId="5CDDE6D5" w14:textId="77777777"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19.3626</w:t>
            </w:r>
          </w:p>
        </w:tc>
      </w:tr>
      <w:tr w:rsidR="00247B3D" w:rsidRPr="00247B3D" w14:paraId="16F74E93" w14:textId="77777777" w:rsidTr="00247B3D">
        <w:trPr>
          <w:trHeight w:val="300"/>
        </w:trPr>
        <w:tc>
          <w:tcPr>
            <w:tcW w:w="1120" w:type="dxa"/>
            <w:tcBorders>
              <w:top w:val="nil"/>
              <w:left w:val="single" w:sz="8" w:space="0" w:color="auto"/>
              <w:bottom w:val="single" w:sz="4" w:space="0" w:color="auto"/>
              <w:right w:val="single" w:sz="4" w:space="0" w:color="auto"/>
            </w:tcBorders>
            <w:shd w:val="clear" w:color="000000" w:fill="0066CC"/>
            <w:hideMark/>
          </w:tcPr>
          <w:p w14:paraId="777BB30E"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Female</w:t>
            </w:r>
          </w:p>
        </w:tc>
        <w:tc>
          <w:tcPr>
            <w:tcW w:w="1540" w:type="dxa"/>
            <w:tcBorders>
              <w:top w:val="nil"/>
              <w:left w:val="single" w:sz="4" w:space="0" w:color="979991"/>
              <w:bottom w:val="single" w:sz="4" w:space="0" w:color="979991"/>
              <w:right w:val="nil"/>
            </w:tcBorders>
            <w:shd w:val="clear" w:color="000000" w:fill="FFFFFF"/>
            <w:hideMark/>
          </w:tcPr>
          <w:p w14:paraId="5F91156C" w14:textId="77777777"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15.9569</w:t>
            </w:r>
          </w:p>
        </w:tc>
        <w:tc>
          <w:tcPr>
            <w:tcW w:w="1640" w:type="dxa"/>
            <w:tcBorders>
              <w:top w:val="nil"/>
              <w:left w:val="single" w:sz="4" w:space="0" w:color="979991"/>
              <w:bottom w:val="single" w:sz="4" w:space="0" w:color="979991"/>
              <w:right w:val="single" w:sz="4" w:space="0" w:color="979991"/>
            </w:tcBorders>
            <w:shd w:val="clear" w:color="000000" w:fill="FFFFFF"/>
            <w:hideMark/>
          </w:tcPr>
          <w:p w14:paraId="5BEFBB75" w14:textId="77777777"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13.7664</w:t>
            </w:r>
          </w:p>
        </w:tc>
      </w:tr>
      <w:tr w:rsidR="00247B3D" w:rsidRPr="00247B3D" w14:paraId="03B8FEF8" w14:textId="77777777" w:rsidTr="00247B3D">
        <w:trPr>
          <w:trHeight w:val="300"/>
        </w:trPr>
        <w:tc>
          <w:tcPr>
            <w:tcW w:w="1120" w:type="dxa"/>
            <w:tcBorders>
              <w:top w:val="nil"/>
              <w:left w:val="single" w:sz="8" w:space="0" w:color="auto"/>
              <w:bottom w:val="single" w:sz="4" w:space="0" w:color="auto"/>
              <w:right w:val="single" w:sz="4" w:space="0" w:color="auto"/>
            </w:tcBorders>
            <w:shd w:val="clear" w:color="000000" w:fill="0066CC"/>
            <w:hideMark/>
          </w:tcPr>
          <w:p w14:paraId="288E136D"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Difference</w:t>
            </w:r>
          </w:p>
        </w:tc>
        <w:tc>
          <w:tcPr>
            <w:tcW w:w="1540" w:type="dxa"/>
            <w:tcBorders>
              <w:top w:val="nil"/>
              <w:left w:val="single" w:sz="4" w:space="0" w:color="979991"/>
              <w:bottom w:val="single" w:sz="4" w:space="0" w:color="979991"/>
              <w:right w:val="nil"/>
            </w:tcBorders>
            <w:shd w:val="clear" w:color="000000" w:fill="FFFFFF"/>
            <w:hideMark/>
          </w:tcPr>
          <w:p w14:paraId="6D8C1503" w14:textId="61FAB6F8"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8.5066</w:t>
            </w:r>
          </w:p>
        </w:tc>
        <w:tc>
          <w:tcPr>
            <w:tcW w:w="1640" w:type="dxa"/>
            <w:tcBorders>
              <w:top w:val="nil"/>
              <w:left w:val="single" w:sz="4" w:space="0" w:color="979991"/>
              <w:bottom w:val="single" w:sz="4" w:space="0" w:color="979991"/>
              <w:right w:val="single" w:sz="4" w:space="0" w:color="979991"/>
            </w:tcBorders>
            <w:shd w:val="clear" w:color="000000" w:fill="FFFFFF"/>
            <w:hideMark/>
          </w:tcPr>
          <w:p w14:paraId="320EFAD1" w14:textId="77777777"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5.5963</w:t>
            </w:r>
          </w:p>
        </w:tc>
      </w:tr>
      <w:tr w:rsidR="00247B3D" w:rsidRPr="00247B3D" w14:paraId="7D05AD7C" w14:textId="77777777" w:rsidTr="00247B3D">
        <w:trPr>
          <w:trHeight w:val="300"/>
        </w:trPr>
        <w:tc>
          <w:tcPr>
            <w:tcW w:w="1120" w:type="dxa"/>
            <w:tcBorders>
              <w:top w:val="nil"/>
              <w:left w:val="single" w:sz="8" w:space="0" w:color="auto"/>
              <w:bottom w:val="single" w:sz="4" w:space="0" w:color="auto"/>
              <w:right w:val="single" w:sz="4" w:space="0" w:color="auto"/>
            </w:tcBorders>
            <w:shd w:val="clear" w:color="000000" w:fill="0066CC"/>
            <w:hideMark/>
          </w:tcPr>
          <w:p w14:paraId="6B1A17CE" w14:textId="77777777" w:rsidR="00247B3D" w:rsidRPr="00247B3D" w:rsidRDefault="00247B3D" w:rsidP="00247B3D">
            <w:pPr>
              <w:spacing w:after="0" w:line="240" w:lineRule="auto"/>
              <w:rPr>
                <w:rFonts w:ascii="Calibri" w:eastAsia="Times New Roman" w:hAnsi="Calibri" w:cs="Calibri"/>
                <w:b/>
                <w:bCs/>
                <w:color w:val="FFFFFF"/>
                <w:sz w:val="16"/>
                <w:szCs w:val="16"/>
                <w:lang w:eastAsia="en-GB"/>
              </w:rPr>
            </w:pPr>
            <w:r w:rsidRPr="00247B3D">
              <w:rPr>
                <w:rFonts w:ascii="Calibri" w:eastAsia="Times New Roman" w:hAnsi="Calibri" w:cs="Calibri"/>
                <w:b/>
                <w:bCs/>
                <w:color w:val="FFFFFF"/>
                <w:sz w:val="16"/>
                <w:szCs w:val="16"/>
                <w:lang w:eastAsia="en-GB"/>
              </w:rPr>
              <w:t>Pay Gap %</w:t>
            </w:r>
          </w:p>
        </w:tc>
        <w:tc>
          <w:tcPr>
            <w:tcW w:w="1540" w:type="dxa"/>
            <w:tcBorders>
              <w:top w:val="nil"/>
              <w:left w:val="single" w:sz="4" w:space="0" w:color="979991"/>
              <w:bottom w:val="single" w:sz="4" w:space="0" w:color="979991"/>
              <w:right w:val="nil"/>
            </w:tcBorders>
            <w:shd w:val="clear" w:color="000000" w:fill="FFFFFF"/>
            <w:hideMark/>
          </w:tcPr>
          <w:p w14:paraId="63101E03" w14:textId="0D307240"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34.7726</w:t>
            </w:r>
            <w:r w:rsidR="00480CAC">
              <w:rPr>
                <w:rFonts w:ascii="Calibri" w:eastAsia="Times New Roman" w:hAnsi="Calibri" w:cs="Calibri"/>
                <w:color w:val="000000"/>
                <w:sz w:val="16"/>
                <w:szCs w:val="16"/>
                <w:lang w:eastAsia="en-GB"/>
              </w:rPr>
              <w:t>%</w:t>
            </w:r>
          </w:p>
        </w:tc>
        <w:tc>
          <w:tcPr>
            <w:tcW w:w="1640" w:type="dxa"/>
            <w:tcBorders>
              <w:top w:val="nil"/>
              <w:left w:val="single" w:sz="4" w:space="0" w:color="979991"/>
              <w:bottom w:val="single" w:sz="4" w:space="0" w:color="979991"/>
              <w:right w:val="single" w:sz="4" w:space="0" w:color="979991"/>
            </w:tcBorders>
            <w:shd w:val="clear" w:color="000000" w:fill="FFFFFF"/>
            <w:hideMark/>
          </w:tcPr>
          <w:p w14:paraId="7C5C53BE" w14:textId="169BADD6" w:rsidR="00247B3D" w:rsidRPr="00247B3D" w:rsidRDefault="00247B3D" w:rsidP="00247B3D">
            <w:pPr>
              <w:spacing w:after="0" w:line="240" w:lineRule="auto"/>
              <w:jc w:val="right"/>
              <w:rPr>
                <w:rFonts w:ascii="Calibri" w:eastAsia="Times New Roman" w:hAnsi="Calibri" w:cs="Calibri"/>
                <w:color w:val="000000"/>
                <w:sz w:val="16"/>
                <w:szCs w:val="16"/>
                <w:lang w:eastAsia="en-GB"/>
              </w:rPr>
            </w:pPr>
            <w:r w:rsidRPr="00247B3D">
              <w:rPr>
                <w:rFonts w:ascii="Calibri" w:eastAsia="Times New Roman" w:hAnsi="Calibri" w:cs="Calibri"/>
                <w:color w:val="000000"/>
                <w:sz w:val="16"/>
                <w:szCs w:val="16"/>
                <w:lang w:eastAsia="en-GB"/>
              </w:rPr>
              <w:t>28.9024</w:t>
            </w:r>
            <w:r w:rsidR="00480CAC">
              <w:rPr>
                <w:rFonts w:ascii="Calibri" w:eastAsia="Times New Roman" w:hAnsi="Calibri" w:cs="Calibri"/>
                <w:color w:val="000000"/>
                <w:sz w:val="16"/>
                <w:szCs w:val="16"/>
                <w:lang w:eastAsia="en-GB"/>
              </w:rPr>
              <w:t>%</w:t>
            </w:r>
          </w:p>
        </w:tc>
      </w:tr>
    </w:tbl>
    <w:p w14:paraId="78D8A194" w14:textId="2AE1999A" w:rsidR="00247B3D" w:rsidRDefault="00247B3D" w:rsidP="00C56143">
      <w:pPr>
        <w:pStyle w:val="Default"/>
        <w:spacing w:after="60"/>
        <w:jc w:val="both"/>
        <w:rPr>
          <w:b/>
          <w:color w:val="000000" w:themeColor="text1"/>
        </w:rPr>
      </w:pPr>
    </w:p>
    <w:p w14:paraId="3E83B33F" w14:textId="69CEFE13" w:rsidR="004F0611" w:rsidRDefault="00C56143" w:rsidP="00990F54">
      <w:pPr>
        <w:pStyle w:val="Default"/>
        <w:numPr>
          <w:ilvl w:val="0"/>
          <w:numId w:val="10"/>
        </w:numPr>
        <w:spacing w:after="60"/>
        <w:jc w:val="both"/>
        <w:rPr>
          <w:b/>
          <w:color w:val="000000" w:themeColor="text1"/>
          <w:sz w:val="28"/>
          <w:szCs w:val="28"/>
        </w:rPr>
      </w:pPr>
      <w:r w:rsidRPr="00990F54">
        <w:rPr>
          <w:b/>
          <w:color w:val="000000" w:themeColor="text1"/>
          <w:sz w:val="28"/>
          <w:szCs w:val="28"/>
        </w:rPr>
        <w:t xml:space="preserve">Medical and Dental Employees </w:t>
      </w:r>
    </w:p>
    <w:p w14:paraId="44F61BBC" w14:textId="77777777" w:rsidR="00990F54" w:rsidRPr="00990F54" w:rsidRDefault="00990F54" w:rsidP="00990F54">
      <w:pPr>
        <w:pStyle w:val="Default"/>
        <w:spacing w:after="60"/>
        <w:ind w:left="720"/>
        <w:jc w:val="both"/>
        <w:rPr>
          <w:b/>
          <w:color w:val="000000" w:themeColor="text1"/>
          <w:sz w:val="28"/>
          <w:szCs w:val="28"/>
        </w:rPr>
      </w:pPr>
    </w:p>
    <w:p w14:paraId="063CDFF1" w14:textId="3A951FEE" w:rsidR="004F0611" w:rsidRPr="004F0611" w:rsidRDefault="004F0611" w:rsidP="004F0611">
      <w:pPr>
        <w:pStyle w:val="Default"/>
      </w:pPr>
      <w:r w:rsidRPr="004F0611">
        <w:t xml:space="preserve">When reviewing the medical positions, there are a total of 610 medical positions in DBTH. </w:t>
      </w:r>
      <w:r w:rsidR="00673F2F">
        <w:t>This consists of consultants, s</w:t>
      </w:r>
      <w:r w:rsidR="00673F2F" w:rsidRPr="00673F2F">
        <w:t>pecialty and specialist</w:t>
      </w:r>
      <w:r w:rsidR="00673F2F">
        <w:t xml:space="preserve"> doctors, junior doctors. It excludes junior </w:t>
      </w:r>
      <w:r w:rsidR="00597523">
        <w:t>doctors</w:t>
      </w:r>
      <w:r w:rsidR="00673F2F">
        <w:t xml:space="preserve"> with a lead employer from another Trust. </w:t>
      </w:r>
      <w:r w:rsidRPr="004F0611">
        <w:t>Gender breakdown of this equates to 217 female (35.5%) to 393 male (64.5%).</w:t>
      </w:r>
      <w:r>
        <w:t xml:space="preserve"> As shown in the table below.</w:t>
      </w:r>
    </w:p>
    <w:p w14:paraId="7802224F" w14:textId="04EB249E" w:rsidR="004F0611" w:rsidRDefault="004F0611" w:rsidP="004F0611">
      <w:pPr>
        <w:pStyle w:val="Default"/>
        <w:spacing w:after="60"/>
        <w:jc w:val="both"/>
        <w:rPr>
          <w:b/>
          <w:color w:val="000000" w:themeColor="text1"/>
          <w:sz w:val="28"/>
          <w:szCs w:val="28"/>
        </w:rPr>
      </w:pPr>
    </w:p>
    <w:p w14:paraId="2656E1EC" w14:textId="77777777" w:rsidR="002C1A95" w:rsidRPr="002C1A95" w:rsidRDefault="00D47C22" w:rsidP="00DE46E7">
      <w:pPr>
        <w:pStyle w:val="Default"/>
        <w:rPr>
          <w:b/>
          <w:bCs/>
          <w:color w:val="000000" w:themeColor="text1"/>
          <w:sz w:val="22"/>
          <w:szCs w:val="22"/>
        </w:rPr>
      </w:pPr>
      <w:r w:rsidRPr="002C1A95">
        <w:rPr>
          <w:b/>
          <w:bCs/>
          <w:color w:val="000000" w:themeColor="text1"/>
          <w:sz w:val="22"/>
          <w:szCs w:val="22"/>
        </w:rPr>
        <w:t>202</w:t>
      </w:r>
      <w:r w:rsidR="002C1A95" w:rsidRPr="002C1A95">
        <w:rPr>
          <w:b/>
          <w:bCs/>
          <w:color w:val="000000" w:themeColor="text1"/>
          <w:sz w:val="22"/>
          <w:szCs w:val="22"/>
        </w:rPr>
        <w:t>2</w:t>
      </w:r>
    </w:p>
    <w:tbl>
      <w:tblPr>
        <w:tblW w:w="7100" w:type="dxa"/>
        <w:tblLook w:val="04A0" w:firstRow="1" w:lastRow="0" w:firstColumn="1" w:lastColumn="0" w:noHBand="0" w:noVBand="1"/>
      </w:tblPr>
      <w:tblGrid>
        <w:gridCol w:w="3600"/>
        <w:gridCol w:w="820"/>
        <w:gridCol w:w="760"/>
        <w:gridCol w:w="880"/>
        <w:gridCol w:w="1040"/>
      </w:tblGrid>
      <w:tr w:rsidR="002C1A95" w:rsidRPr="002C1A95" w14:paraId="0087FCB6" w14:textId="77777777" w:rsidTr="002C1A95">
        <w:trPr>
          <w:trHeight w:val="300"/>
        </w:trPr>
        <w:tc>
          <w:tcPr>
            <w:tcW w:w="3600" w:type="dxa"/>
            <w:tcBorders>
              <w:top w:val="single" w:sz="4" w:space="0" w:color="979991"/>
              <w:left w:val="single" w:sz="4" w:space="0" w:color="979991"/>
              <w:bottom w:val="nil"/>
              <w:right w:val="nil"/>
            </w:tcBorders>
            <w:shd w:val="clear" w:color="000000" w:fill="0066CC"/>
            <w:hideMark/>
          </w:tcPr>
          <w:p w14:paraId="3F66351C" w14:textId="77777777" w:rsidR="002C1A95" w:rsidRPr="002C1A95" w:rsidRDefault="002C1A95" w:rsidP="002C1A95">
            <w:pPr>
              <w:spacing w:after="0" w:line="240" w:lineRule="auto"/>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Quartile</w:t>
            </w:r>
          </w:p>
        </w:tc>
        <w:tc>
          <w:tcPr>
            <w:tcW w:w="820" w:type="dxa"/>
            <w:tcBorders>
              <w:top w:val="single" w:sz="4" w:space="0" w:color="979991"/>
              <w:left w:val="single" w:sz="4" w:space="0" w:color="979991"/>
              <w:bottom w:val="single" w:sz="4" w:space="0" w:color="979991"/>
              <w:right w:val="nil"/>
            </w:tcBorders>
            <w:shd w:val="clear" w:color="000000" w:fill="0066CC"/>
            <w:hideMark/>
          </w:tcPr>
          <w:p w14:paraId="4F103CAD" w14:textId="77777777" w:rsidR="002C1A95" w:rsidRPr="002C1A95" w:rsidRDefault="002C1A95" w:rsidP="002C1A95">
            <w:pPr>
              <w:spacing w:after="0" w:line="240" w:lineRule="auto"/>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Female</w:t>
            </w:r>
          </w:p>
        </w:tc>
        <w:tc>
          <w:tcPr>
            <w:tcW w:w="760" w:type="dxa"/>
            <w:tcBorders>
              <w:top w:val="single" w:sz="4" w:space="0" w:color="979991"/>
              <w:left w:val="single" w:sz="4" w:space="0" w:color="979991"/>
              <w:bottom w:val="single" w:sz="4" w:space="0" w:color="979991"/>
              <w:right w:val="nil"/>
            </w:tcBorders>
            <w:shd w:val="clear" w:color="000000" w:fill="0066CC"/>
            <w:hideMark/>
          </w:tcPr>
          <w:p w14:paraId="3CF499F5" w14:textId="77777777" w:rsidR="002C1A95" w:rsidRPr="002C1A95" w:rsidRDefault="002C1A95" w:rsidP="002C1A95">
            <w:pPr>
              <w:spacing w:after="0" w:line="240" w:lineRule="auto"/>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Male</w:t>
            </w:r>
          </w:p>
        </w:tc>
        <w:tc>
          <w:tcPr>
            <w:tcW w:w="880" w:type="dxa"/>
            <w:tcBorders>
              <w:top w:val="single" w:sz="4" w:space="0" w:color="979991"/>
              <w:left w:val="single" w:sz="4" w:space="0" w:color="979991"/>
              <w:bottom w:val="single" w:sz="4" w:space="0" w:color="979991"/>
              <w:right w:val="nil"/>
            </w:tcBorders>
            <w:shd w:val="clear" w:color="000000" w:fill="0066CC"/>
            <w:hideMark/>
          </w:tcPr>
          <w:p w14:paraId="0EC30F11" w14:textId="77777777" w:rsidR="002C1A95" w:rsidRPr="002C1A95" w:rsidRDefault="002C1A95" w:rsidP="002C1A95">
            <w:pPr>
              <w:spacing w:after="0" w:line="240" w:lineRule="auto"/>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Female %</w:t>
            </w:r>
          </w:p>
        </w:tc>
        <w:tc>
          <w:tcPr>
            <w:tcW w:w="1040" w:type="dxa"/>
            <w:tcBorders>
              <w:top w:val="single" w:sz="4" w:space="0" w:color="979991"/>
              <w:left w:val="single" w:sz="4" w:space="0" w:color="979991"/>
              <w:bottom w:val="single" w:sz="4" w:space="0" w:color="979991"/>
              <w:right w:val="single" w:sz="4" w:space="0" w:color="979991"/>
            </w:tcBorders>
            <w:shd w:val="clear" w:color="000000" w:fill="0066CC"/>
            <w:hideMark/>
          </w:tcPr>
          <w:p w14:paraId="6C25C874" w14:textId="77777777" w:rsidR="002C1A95" w:rsidRPr="002C1A95" w:rsidRDefault="002C1A95" w:rsidP="002C1A95">
            <w:pPr>
              <w:spacing w:after="0" w:line="240" w:lineRule="auto"/>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Male %</w:t>
            </w:r>
          </w:p>
        </w:tc>
      </w:tr>
      <w:tr w:rsidR="002C1A95" w:rsidRPr="002C1A95" w14:paraId="04C970DD" w14:textId="77777777" w:rsidTr="002C1A95">
        <w:trPr>
          <w:trHeight w:val="300"/>
        </w:trPr>
        <w:tc>
          <w:tcPr>
            <w:tcW w:w="3600" w:type="dxa"/>
            <w:tcBorders>
              <w:top w:val="single" w:sz="4" w:space="0" w:color="979991"/>
              <w:left w:val="single" w:sz="4" w:space="0" w:color="979991"/>
              <w:bottom w:val="single" w:sz="4" w:space="0" w:color="979991"/>
              <w:right w:val="nil"/>
            </w:tcBorders>
            <w:shd w:val="clear" w:color="000000" w:fill="0066CC"/>
            <w:hideMark/>
          </w:tcPr>
          <w:p w14:paraId="7BF67B40" w14:textId="77777777" w:rsidR="002C1A95" w:rsidRPr="002C1A95" w:rsidRDefault="002C1A95" w:rsidP="002C1A95">
            <w:pPr>
              <w:spacing w:after="0" w:line="240" w:lineRule="auto"/>
              <w:jc w:val="right"/>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1</w:t>
            </w:r>
          </w:p>
        </w:tc>
        <w:tc>
          <w:tcPr>
            <w:tcW w:w="820" w:type="dxa"/>
            <w:tcBorders>
              <w:top w:val="nil"/>
              <w:left w:val="single" w:sz="4" w:space="0" w:color="979991"/>
              <w:bottom w:val="single" w:sz="4" w:space="0" w:color="979991"/>
              <w:right w:val="nil"/>
            </w:tcBorders>
            <w:shd w:val="clear" w:color="000000" w:fill="FFFFFF"/>
            <w:hideMark/>
          </w:tcPr>
          <w:p w14:paraId="39E33BBD"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0.00</w:t>
            </w:r>
          </w:p>
        </w:tc>
        <w:tc>
          <w:tcPr>
            <w:tcW w:w="760" w:type="dxa"/>
            <w:tcBorders>
              <w:top w:val="nil"/>
              <w:left w:val="single" w:sz="4" w:space="0" w:color="979991"/>
              <w:bottom w:val="single" w:sz="4" w:space="0" w:color="979991"/>
              <w:right w:val="nil"/>
            </w:tcBorders>
            <w:shd w:val="clear" w:color="000000" w:fill="FFFFFF"/>
            <w:hideMark/>
          </w:tcPr>
          <w:p w14:paraId="5D779FD8"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3.00</w:t>
            </w:r>
          </w:p>
        </w:tc>
        <w:tc>
          <w:tcPr>
            <w:tcW w:w="880" w:type="dxa"/>
            <w:tcBorders>
              <w:top w:val="nil"/>
              <w:left w:val="single" w:sz="4" w:space="0" w:color="979991"/>
              <w:bottom w:val="single" w:sz="4" w:space="0" w:color="979991"/>
              <w:right w:val="nil"/>
            </w:tcBorders>
            <w:shd w:val="clear" w:color="000000" w:fill="FFFFFF"/>
            <w:hideMark/>
          </w:tcPr>
          <w:p w14:paraId="513C07AC"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0.00%</w:t>
            </w:r>
          </w:p>
        </w:tc>
        <w:tc>
          <w:tcPr>
            <w:tcW w:w="1040" w:type="dxa"/>
            <w:tcBorders>
              <w:top w:val="nil"/>
              <w:left w:val="single" w:sz="4" w:space="0" w:color="979991"/>
              <w:bottom w:val="single" w:sz="4" w:space="0" w:color="979991"/>
              <w:right w:val="single" w:sz="4" w:space="0" w:color="979991"/>
            </w:tcBorders>
            <w:shd w:val="clear" w:color="000000" w:fill="FFFFFF"/>
            <w:hideMark/>
          </w:tcPr>
          <w:p w14:paraId="06FF2209"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100.00%</w:t>
            </w:r>
          </w:p>
        </w:tc>
      </w:tr>
      <w:tr w:rsidR="002C1A95" w:rsidRPr="002C1A95" w14:paraId="442595C0" w14:textId="77777777" w:rsidTr="002C1A95">
        <w:trPr>
          <w:trHeight w:val="300"/>
        </w:trPr>
        <w:tc>
          <w:tcPr>
            <w:tcW w:w="3600" w:type="dxa"/>
            <w:tcBorders>
              <w:top w:val="nil"/>
              <w:left w:val="single" w:sz="4" w:space="0" w:color="979991"/>
              <w:bottom w:val="single" w:sz="4" w:space="0" w:color="979991"/>
              <w:right w:val="nil"/>
            </w:tcBorders>
            <w:shd w:val="clear" w:color="000000" w:fill="0066CC"/>
            <w:hideMark/>
          </w:tcPr>
          <w:p w14:paraId="3EFB8D9A" w14:textId="77777777" w:rsidR="002C1A95" w:rsidRPr="002C1A95" w:rsidRDefault="002C1A95" w:rsidP="002C1A95">
            <w:pPr>
              <w:spacing w:after="0" w:line="240" w:lineRule="auto"/>
              <w:jc w:val="right"/>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2</w:t>
            </w:r>
          </w:p>
        </w:tc>
        <w:tc>
          <w:tcPr>
            <w:tcW w:w="820" w:type="dxa"/>
            <w:tcBorders>
              <w:top w:val="nil"/>
              <w:left w:val="single" w:sz="4" w:space="0" w:color="979991"/>
              <w:bottom w:val="single" w:sz="4" w:space="0" w:color="979991"/>
              <w:right w:val="nil"/>
            </w:tcBorders>
            <w:shd w:val="clear" w:color="000000" w:fill="FFFFFF"/>
            <w:hideMark/>
          </w:tcPr>
          <w:p w14:paraId="53741314"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2.00</w:t>
            </w:r>
          </w:p>
        </w:tc>
        <w:tc>
          <w:tcPr>
            <w:tcW w:w="760" w:type="dxa"/>
            <w:tcBorders>
              <w:top w:val="nil"/>
              <w:left w:val="single" w:sz="4" w:space="0" w:color="979991"/>
              <w:bottom w:val="single" w:sz="4" w:space="0" w:color="979991"/>
              <w:right w:val="nil"/>
            </w:tcBorders>
            <w:shd w:val="clear" w:color="000000" w:fill="FFFFFF"/>
            <w:hideMark/>
          </w:tcPr>
          <w:p w14:paraId="270CC0B5"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2.00</w:t>
            </w:r>
          </w:p>
        </w:tc>
        <w:tc>
          <w:tcPr>
            <w:tcW w:w="880" w:type="dxa"/>
            <w:tcBorders>
              <w:top w:val="nil"/>
              <w:left w:val="single" w:sz="4" w:space="0" w:color="979991"/>
              <w:bottom w:val="single" w:sz="4" w:space="0" w:color="979991"/>
              <w:right w:val="nil"/>
            </w:tcBorders>
            <w:shd w:val="clear" w:color="000000" w:fill="FFFFFF"/>
            <w:hideMark/>
          </w:tcPr>
          <w:p w14:paraId="2F499C72"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66.67%</w:t>
            </w:r>
          </w:p>
        </w:tc>
        <w:tc>
          <w:tcPr>
            <w:tcW w:w="1040" w:type="dxa"/>
            <w:tcBorders>
              <w:top w:val="nil"/>
              <w:left w:val="single" w:sz="4" w:space="0" w:color="979991"/>
              <w:bottom w:val="single" w:sz="4" w:space="0" w:color="979991"/>
              <w:right w:val="single" w:sz="4" w:space="0" w:color="979991"/>
            </w:tcBorders>
            <w:shd w:val="clear" w:color="000000" w:fill="FFFFFF"/>
            <w:hideMark/>
          </w:tcPr>
          <w:p w14:paraId="3603A033"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66.67%</w:t>
            </w:r>
          </w:p>
        </w:tc>
      </w:tr>
      <w:tr w:rsidR="002C1A95" w:rsidRPr="002C1A95" w14:paraId="4F484512" w14:textId="77777777" w:rsidTr="002C1A95">
        <w:trPr>
          <w:trHeight w:val="300"/>
        </w:trPr>
        <w:tc>
          <w:tcPr>
            <w:tcW w:w="3600" w:type="dxa"/>
            <w:tcBorders>
              <w:top w:val="nil"/>
              <w:left w:val="single" w:sz="4" w:space="0" w:color="979991"/>
              <w:bottom w:val="single" w:sz="4" w:space="0" w:color="979991"/>
              <w:right w:val="nil"/>
            </w:tcBorders>
            <w:shd w:val="clear" w:color="000000" w:fill="0066CC"/>
            <w:hideMark/>
          </w:tcPr>
          <w:p w14:paraId="70EEBCB1" w14:textId="77777777" w:rsidR="002C1A95" w:rsidRPr="002C1A95" w:rsidRDefault="002C1A95" w:rsidP="002C1A95">
            <w:pPr>
              <w:spacing w:after="0" w:line="240" w:lineRule="auto"/>
              <w:jc w:val="right"/>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3</w:t>
            </w:r>
          </w:p>
        </w:tc>
        <w:tc>
          <w:tcPr>
            <w:tcW w:w="820" w:type="dxa"/>
            <w:tcBorders>
              <w:top w:val="nil"/>
              <w:left w:val="single" w:sz="4" w:space="0" w:color="979991"/>
              <w:bottom w:val="single" w:sz="4" w:space="0" w:color="979991"/>
              <w:right w:val="nil"/>
            </w:tcBorders>
            <w:shd w:val="clear" w:color="000000" w:fill="FFFFFF"/>
            <w:hideMark/>
          </w:tcPr>
          <w:p w14:paraId="11C9B941"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36.00</w:t>
            </w:r>
          </w:p>
        </w:tc>
        <w:tc>
          <w:tcPr>
            <w:tcW w:w="760" w:type="dxa"/>
            <w:tcBorders>
              <w:top w:val="nil"/>
              <w:left w:val="single" w:sz="4" w:space="0" w:color="979991"/>
              <w:bottom w:val="single" w:sz="4" w:space="0" w:color="979991"/>
              <w:right w:val="nil"/>
            </w:tcBorders>
            <w:shd w:val="clear" w:color="000000" w:fill="FFFFFF"/>
            <w:hideMark/>
          </w:tcPr>
          <w:p w14:paraId="02D4BC46"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23.00</w:t>
            </w:r>
          </w:p>
        </w:tc>
        <w:tc>
          <w:tcPr>
            <w:tcW w:w="880" w:type="dxa"/>
            <w:tcBorders>
              <w:top w:val="nil"/>
              <w:left w:val="single" w:sz="4" w:space="0" w:color="979991"/>
              <w:bottom w:val="single" w:sz="4" w:space="0" w:color="979991"/>
              <w:right w:val="nil"/>
            </w:tcBorders>
            <w:shd w:val="clear" w:color="000000" w:fill="FFFFFF"/>
            <w:hideMark/>
          </w:tcPr>
          <w:p w14:paraId="36476BBF"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63.16%</w:t>
            </w:r>
          </w:p>
        </w:tc>
        <w:tc>
          <w:tcPr>
            <w:tcW w:w="1040" w:type="dxa"/>
            <w:tcBorders>
              <w:top w:val="nil"/>
              <w:left w:val="single" w:sz="4" w:space="0" w:color="979991"/>
              <w:bottom w:val="single" w:sz="4" w:space="0" w:color="979991"/>
              <w:right w:val="single" w:sz="4" w:space="0" w:color="979991"/>
            </w:tcBorders>
            <w:shd w:val="clear" w:color="000000" w:fill="FFFFFF"/>
            <w:hideMark/>
          </w:tcPr>
          <w:p w14:paraId="6CFD5F92"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40.35%</w:t>
            </w:r>
          </w:p>
        </w:tc>
      </w:tr>
      <w:tr w:rsidR="002C1A95" w:rsidRPr="002C1A95" w14:paraId="7E3B34F3" w14:textId="77777777" w:rsidTr="002C1A95">
        <w:trPr>
          <w:trHeight w:val="300"/>
        </w:trPr>
        <w:tc>
          <w:tcPr>
            <w:tcW w:w="3600" w:type="dxa"/>
            <w:tcBorders>
              <w:top w:val="nil"/>
              <w:left w:val="single" w:sz="4" w:space="0" w:color="979991"/>
              <w:bottom w:val="single" w:sz="4" w:space="0" w:color="979991"/>
              <w:right w:val="nil"/>
            </w:tcBorders>
            <w:shd w:val="clear" w:color="000000" w:fill="0066CC"/>
            <w:hideMark/>
          </w:tcPr>
          <w:p w14:paraId="228EA612" w14:textId="77777777" w:rsidR="002C1A95" w:rsidRPr="002C1A95" w:rsidRDefault="002C1A95" w:rsidP="002C1A95">
            <w:pPr>
              <w:spacing w:after="0" w:line="240" w:lineRule="auto"/>
              <w:jc w:val="right"/>
              <w:rPr>
                <w:rFonts w:ascii="Calibri" w:eastAsia="Times New Roman" w:hAnsi="Calibri" w:cs="Calibri"/>
                <w:b/>
                <w:bCs/>
                <w:color w:val="FFFFFF"/>
                <w:sz w:val="16"/>
                <w:szCs w:val="16"/>
                <w:lang w:eastAsia="en-GB"/>
              </w:rPr>
            </w:pPr>
            <w:r w:rsidRPr="002C1A95">
              <w:rPr>
                <w:rFonts w:ascii="Calibri" w:eastAsia="Times New Roman" w:hAnsi="Calibri" w:cs="Calibri"/>
                <w:b/>
                <w:bCs/>
                <w:color w:val="FFFFFF"/>
                <w:sz w:val="16"/>
                <w:szCs w:val="16"/>
                <w:lang w:eastAsia="en-GB"/>
              </w:rPr>
              <w:t>4</w:t>
            </w:r>
          </w:p>
        </w:tc>
        <w:tc>
          <w:tcPr>
            <w:tcW w:w="820" w:type="dxa"/>
            <w:tcBorders>
              <w:top w:val="nil"/>
              <w:left w:val="single" w:sz="4" w:space="0" w:color="979991"/>
              <w:bottom w:val="single" w:sz="4" w:space="0" w:color="979991"/>
              <w:right w:val="nil"/>
            </w:tcBorders>
            <w:shd w:val="clear" w:color="000000" w:fill="FFFFFF"/>
            <w:hideMark/>
          </w:tcPr>
          <w:p w14:paraId="5585D4E8"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182.00</w:t>
            </w:r>
          </w:p>
        </w:tc>
        <w:tc>
          <w:tcPr>
            <w:tcW w:w="760" w:type="dxa"/>
            <w:tcBorders>
              <w:top w:val="nil"/>
              <w:left w:val="single" w:sz="4" w:space="0" w:color="979991"/>
              <w:bottom w:val="single" w:sz="4" w:space="0" w:color="979991"/>
              <w:right w:val="nil"/>
            </w:tcBorders>
            <w:shd w:val="clear" w:color="000000" w:fill="FFFFFF"/>
            <w:hideMark/>
          </w:tcPr>
          <w:p w14:paraId="0A45B65B"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372.00</w:t>
            </w:r>
          </w:p>
        </w:tc>
        <w:tc>
          <w:tcPr>
            <w:tcW w:w="880" w:type="dxa"/>
            <w:tcBorders>
              <w:top w:val="nil"/>
              <w:left w:val="single" w:sz="4" w:space="0" w:color="979991"/>
              <w:bottom w:val="single" w:sz="4" w:space="0" w:color="979991"/>
              <w:right w:val="nil"/>
            </w:tcBorders>
            <w:shd w:val="clear" w:color="000000" w:fill="FFFFFF"/>
            <w:hideMark/>
          </w:tcPr>
          <w:p w14:paraId="2F716E04"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34.15%</w:t>
            </w:r>
          </w:p>
        </w:tc>
        <w:tc>
          <w:tcPr>
            <w:tcW w:w="1040" w:type="dxa"/>
            <w:tcBorders>
              <w:top w:val="nil"/>
              <w:left w:val="single" w:sz="4" w:space="0" w:color="979991"/>
              <w:bottom w:val="single" w:sz="4" w:space="0" w:color="979991"/>
              <w:right w:val="single" w:sz="4" w:space="0" w:color="979991"/>
            </w:tcBorders>
            <w:shd w:val="clear" w:color="000000" w:fill="FFFFFF"/>
            <w:hideMark/>
          </w:tcPr>
          <w:p w14:paraId="2D9668B2" w14:textId="77777777" w:rsidR="002C1A95" w:rsidRPr="002C1A95" w:rsidRDefault="002C1A95" w:rsidP="002C1A95">
            <w:pPr>
              <w:spacing w:after="0" w:line="240" w:lineRule="auto"/>
              <w:jc w:val="right"/>
              <w:rPr>
                <w:rFonts w:ascii="Calibri" w:eastAsia="Times New Roman" w:hAnsi="Calibri" w:cs="Calibri"/>
                <w:color w:val="000000"/>
                <w:sz w:val="16"/>
                <w:szCs w:val="16"/>
                <w:lang w:eastAsia="en-GB"/>
              </w:rPr>
            </w:pPr>
            <w:r w:rsidRPr="002C1A95">
              <w:rPr>
                <w:rFonts w:ascii="Calibri" w:eastAsia="Times New Roman" w:hAnsi="Calibri" w:cs="Calibri"/>
                <w:color w:val="000000"/>
                <w:sz w:val="16"/>
                <w:szCs w:val="16"/>
                <w:lang w:eastAsia="en-GB"/>
              </w:rPr>
              <w:t>69.79%</w:t>
            </w:r>
          </w:p>
        </w:tc>
      </w:tr>
    </w:tbl>
    <w:p w14:paraId="6B452D9A" w14:textId="3B70CA27" w:rsidR="00C56143" w:rsidRDefault="00C56143" w:rsidP="00DE46E7">
      <w:pPr>
        <w:pStyle w:val="Default"/>
        <w:rPr>
          <w:color w:val="000000" w:themeColor="text1"/>
          <w:sz w:val="22"/>
          <w:szCs w:val="22"/>
        </w:rPr>
      </w:pPr>
    </w:p>
    <w:p w14:paraId="262CA482" w14:textId="093CDCF7" w:rsidR="00C56143" w:rsidRDefault="00597523" w:rsidP="00DE46E7">
      <w:pPr>
        <w:pStyle w:val="Default"/>
        <w:rPr>
          <w:b/>
          <w:bCs/>
          <w:sz w:val="28"/>
          <w:szCs w:val="28"/>
        </w:rPr>
      </w:pPr>
      <w:r>
        <w:rPr>
          <w:b/>
          <w:bCs/>
          <w:sz w:val="28"/>
          <w:szCs w:val="28"/>
        </w:rPr>
        <w:t xml:space="preserve">Clinical Excellence Awards </w:t>
      </w:r>
    </w:p>
    <w:p w14:paraId="7EF5A29A" w14:textId="77777777" w:rsidR="00990F54" w:rsidRPr="009A4E82" w:rsidRDefault="00990F54" w:rsidP="00DE46E7">
      <w:pPr>
        <w:pStyle w:val="Default"/>
        <w:rPr>
          <w:b/>
          <w:bCs/>
          <w:sz w:val="28"/>
          <w:szCs w:val="28"/>
        </w:rPr>
      </w:pPr>
    </w:p>
    <w:p w14:paraId="6BD68D53" w14:textId="22ACD595" w:rsidR="007D6280" w:rsidRDefault="00602580" w:rsidP="004B595F">
      <w:pPr>
        <w:pStyle w:val="Default"/>
        <w:jc w:val="both"/>
        <w:rPr>
          <w:sz w:val="22"/>
          <w:szCs w:val="22"/>
        </w:rPr>
      </w:pPr>
      <w:bookmarkStart w:id="1" w:name="_Hlk128751619"/>
      <w:r w:rsidRPr="00602580">
        <w:rPr>
          <w:sz w:val="22"/>
          <w:szCs w:val="22"/>
        </w:rPr>
        <w:t xml:space="preserve">Local Clinical Excellence </w:t>
      </w:r>
      <w:r>
        <w:rPr>
          <w:sz w:val="22"/>
          <w:szCs w:val="22"/>
        </w:rPr>
        <w:t>A</w:t>
      </w:r>
      <w:r w:rsidRPr="00602580">
        <w:rPr>
          <w:sz w:val="22"/>
          <w:szCs w:val="22"/>
        </w:rPr>
        <w:t>wards have been equally distributed</w:t>
      </w:r>
      <w:r w:rsidR="00842A83">
        <w:rPr>
          <w:sz w:val="22"/>
          <w:szCs w:val="22"/>
        </w:rPr>
        <w:t xml:space="preserve"> to female and male colleagues</w:t>
      </w:r>
      <w:r w:rsidRPr="00602580">
        <w:rPr>
          <w:sz w:val="22"/>
          <w:szCs w:val="22"/>
        </w:rPr>
        <w:t xml:space="preserve"> </w:t>
      </w:r>
      <w:r w:rsidR="00597523">
        <w:rPr>
          <w:sz w:val="22"/>
          <w:szCs w:val="22"/>
        </w:rPr>
        <w:t>since 2019</w:t>
      </w:r>
      <w:r w:rsidR="00BD478A">
        <w:rPr>
          <w:sz w:val="22"/>
          <w:szCs w:val="22"/>
        </w:rPr>
        <w:t xml:space="preserve">. This is based on </w:t>
      </w:r>
      <w:r w:rsidRPr="00602580">
        <w:rPr>
          <w:sz w:val="22"/>
          <w:szCs w:val="22"/>
        </w:rPr>
        <w:t>consultant</w:t>
      </w:r>
      <w:r w:rsidR="00990F54">
        <w:rPr>
          <w:sz w:val="22"/>
          <w:szCs w:val="22"/>
        </w:rPr>
        <w:t>s meeting</w:t>
      </w:r>
      <w:r w:rsidRPr="00602580">
        <w:rPr>
          <w:sz w:val="22"/>
          <w:szCs w:val="22"/>
        </w:rPr>
        <w:t xml:space="preserve"> the eligibility criteria for the award round</w:t>
      </w:r>
      <w:r w:rsidR="00BD478A">
        <w:rPr>
          <w:sz w:val="22"/>
          <w:szCs w:val="22"/>
        </w:rPr>
        <w:t xml:space="preserve">. All eligible consultants </w:t>
      </w:r>
      <w:r w:rsidRPr="00602580">
        <w:rPr>
          <w:sz w:val="22"/>
          <w:szCs w:val="22"/>
        </w:rPr>
        <w:t>received an equal proportion of the awards</w:t>
      </w:r>
      <w:r w:rsidR="007D6280" w:rsidRPr="00B855A3">
        <w:rPr>
          <w:sz w:val="22"/>
          <w:szCs w:val="22"/>
        </w:rPr>
        <w:t>.</w:t>
      </w:r>
      <w:r w:rsidR="007D6280">
        <w:rPr>
          <w:sz w:val="22"/>
          <w:szCs w:val="22"/>
        </w:rPr>
        <w:t xml:space="preserve"> </w:t>
      </w:r>
    </w:p>
    <w:p w14:paraId="528D763B" w14:textId="30F7D6D4" w:rsidR="00842A83" w:rsidRDefault="00842A83" w:rsidP="004B595F">
      <w:pPr>
        <w:pStyle w:val="Default"/>
        <w:jc w:val="both"/>
        <w:rPr>
          <w:sz w:val="22"/>
          <w:szCs w:val="22"/>
        </w:rPr>
      </w:pPr>
    </w:p>
    <w:tbl>
      <w:tblPr>
        <w:tblW w:w="3680" w:type="dxa"/>
        <w:tblLook w:val="04A0" w:firstRow="1" w:lastRow="0" w:firstColumn="1" w:lastColumn="0" w:noHBand="0" w:noVBand="1"/>
      </w:tblPr>
      <w:tblGrid>
        <w:gridCol w:w="708"/>
        <w:gridCol w:w="1255"/>
        <w:gridCol w:w="1217"/>
        <w:gridCol w:w="500"/>
      </w:tblGrid>
      <w:tr w:rsidR="00842A83" w:rsidRPr="00842A83" w14:paraId="0F2B5C17" w14:textId="77777777" w:rsidTr="00842A83">
        <w:trPr>
          <w:trHeight w:val="450"/>
        </w:trPr>
        <w:tc>
          <w:tcPr>
            <w:tcW w:w="700" w:type="dxa"/>
            <w:tcBorders>
              <w:top w:val="nil"/>
              <w:left w:val="single" w:sz="4" w:space="0" w:color="auto"/>
              <w:bottom w:val="single" w:sz="4" w:space="0" w:color="auto"/>
              <w:right w:val="single" w:sz="4" w:space="0" w:color="auto"/>
            </w:tcBorders>
            <w:shd w:val="clear" w:color="000000" w:fill="0066CC"/>
            <w:hideMark/>
          </w:tcPr>
          <w:p w14:paraId="3974D3F1" w14:textId="77777777" w:rsidR="00842A83" w:rsidRPr="00842A83" w:rsidRDefault="00842A83" w:rsidP="00842A83">
            <w:pPr>
              <w:spacing w:after="0" w:line="240" w:lineRule="auto"/>
              <w:rPr>
                <w:rFonts w:ascii="Calibri" w:eastAsia="Times New Roman" w:hAnsi="Calibri" w:cs="Calibri"/>
                <w:b/>
                <w:bCs/>
                <w:color w:val="FFFFFF"/>
                <w:sz w:val="16"/>
                <w:szCs w:val="16"/>
                <w:lang w:eastAsia="en-GB"/>
              </w:rPr>
            </w:pPr>
            <w:r w:rsidRPr="00842A83">
              <w:rPr>
                <w:rFonts w:ascii="Calibri" w:eastAsia="Times New Roman" w:hAnsi="Calibri" w:cs="Calibri"/>
                <w:b/>
                <w:bCs/>
                <w:color w:val="FFFFFF"/>
                <w:sz w:val="16"/>
                <w:szCs w:val="16"/>
                <w:lang w:eastAsia="en-GB"/>
              </w:rPr>
              <w:t>Gender</w:t>
            </w:r>
          </w:p>
        </w:tc>
        <w:tc>
          <w:tcPr>
            <w:tcW w:w="1280" w:type="dxa"/>
            <w:tcBorders>
              <w:top w:val="nil"/>
              <w:left w:val="nil"/>
              <w:bottom w:val="single" w:sz="4" w:space="0" w:color="auto"/>
              <w:right w:val="single" w:sz="4" w:space="0" w:color="auto"/>
            </w:tcBorders>
            <w:shd w:val="clear" w:color="000000" w:fill="0066CC"/>
            <w:hideMark/>
          </w:tcPr>
          <w:p w14:paraId="51F3A775" w14:textId="77777777" w:rsidR="00842A83" w:rsidRPr="00842A83" w:rsidRDefault="00842A83" w:rsidP="00842A83">
            <w:pPr>
              <w:spacing w:after="0" w:line="240" w:lineRule="auto"/>
              <w:rPr>
                <w:rFonts w:ascii="Calibri" w:eastAsia="Times New Roman" w:hAnsi="Calibri" w:cs="Calibri"/>
                <w:b/>
                <w:bCs/>
                <w:color w:val="FFFFFF"/>
                <w:sz w:val="16"/>
                <w:szCs w:val="16"/>
                <w:lang w:eastAsia="en-GB"/>
              </w:rPr>
            </w:pPr>
            <w:r w:rsidRPr="00842A83">
              <w:rPr>
                <w:rFonts w:ascii="Calibri" w:eastAsia="Times New Roman" w:hAnsi="Calibri" w:cs="Calibri"/>
                <w:b/>
                <w:bCs/>
                <w:color w:val="FFFFFF"/>
                <w:sz w:val="16"/>
                <w:szCs w:val="16"/>
                <w:lang w:eastAsia="en-GB"/>
              </w:rPr>
              <w:t>Employees Paid Bonus</w:t>
            </w:r>
          </w:p>
        </w:tc>
        <w:tc>
          <w:tcPr>
            <w:tcW w:w="1240" w:type="dxa"/>
            <w:tcBorders>
              <w:top w:val="nil"/>
              <w:left w:val="nil"/>
              <w:bottom w:val="single" w:sz="4" w:space="0" w:color="auto"/>
              <w:right w:val="single" w:sz="4" w:space="0" w:color="auto"/>
            </w:tcBorders>
            <w:shd w:val="clear" w:color="000000" w:fill="0066CC"/>
            <w:hideMark/>
          </w:tcPr>
          <w:p w14:paraId="0B6C045B" w14:textId="77777777" w:rsidR="00842A83" w:rsidRPr="00842A83" w:rsidRDefault="00842A83" w:rsidP="00842A83">
            <w:pPr>
              <w:spacing w:after="0" w:line="240" w:lineRule="auto"/>
              <w:rPr>
                <w:rFonts w:ascii="Calibri" w:eastAsia="Times New Roman" w:hAnsi="Calibri" w:cs="Calibri"/>
                <w:b/>
                <w:bCs/>
                <w:color w:val="FFFFFF"/>
                <w:sz w:val="16"/>
                <w:szCs w:val="16"/>
                <w:lang w:eastAsia="en-GB"/>
              </w:rPr>
            </w:pPr>
            <w:r w:rsidRPr="00842A83">
              <w:rPr>
                <w:rFonts w:ascii="Calibri" w:eastAsia="Times New Roman" w:hAnsi="Calibri" w:cs="Calibri"/>
                <w:b/>
                <w:bCs/>
                <w:color w:val="FFFFFF"/>
                <w:sz w:val="16"/>
                <w:szCs w:val="16"/>
                <w:lang w:eastAsia="en-GB"/>
              </w:rPr>
              <w:t>Total Relevant Employees</w:t>
            </w:r>
          </w:p>
        </w:tc>
        <w:tc>
          <w:tcPr>
            <w:tcW w:w="460" w:type="dxa"/>
            <w:tcBorders>
              <w:top w:val="nil"/>
              <w:left w:val="nil"/>
              <w:bottom w:val="single" w:sz="4" w:space="0" w:color="auto"/>
              <w:right w:val="single" w:sz="8" w:space="0" w:color="auto"/>
            </w:tcBorders>
            <w:shd w:val="clear" w:color="000000" w:fill="0066CC"/>
            <w:hideMark/>
          </w:tcPr>
          <w:p w14:paraId="49EFCA29" w14:textId="77777777" w:rsidR="00842A83" w:rsidRPr="00842A83" w:rsidRDefault="00842A83" w:rsidP="00842A83">
            <w:pPr>
              <w:spacing w:after="0" w:line="240" w:lineRule="auto"/>
              <w:rPr>
                <w:rFonts w:ascii="Calibri" w:eastAsia="Times New Roman" w:hAnsi="Calibri" w:cs="Calibri"/>
                <w:b/>
                <w:bCs/>
                <w:color w:val="FFFFFF"/>
                <w:sz w:val="16"/>
                <w:szCs w:val="16"/>
                <w:lang w:eastAsia="en-GB"/>
              </w:rPr>
            </w:pPr>
            <w:r w:rsidRPr="00842A83">
              <w:rPr>
                <w:rFonts w:ascii="Calibri" w:eastAsia="Times New Roman" w:hAnsi="Calibri" w:cs="Calibri"/>
                <w:b/>
                <w:bCs/>
                <w:color w:val="FFFFFF"/>
                <w:sz w:val="16"/>
                <w:szCs w:val="16"/>
                <w:lang w:eastAsia="en-GB"/>
              </w:rPr>
              <w:t>%</w:t>
            </w:r>
          </w:p>
        </w:tc>
      </w:tr>
      <w:tr w:rsidR="00842A83" w:rsidRPr="00842A83" w14:paraId="36925EDA" w14:textId="77777777" w:rsidTr="00842A83">
        <w:trPr>
          <w:trHeight w:val="300"/>
        </w:trPr>
        <w:tc>
          <w:tcPr>
            <w:tcW w:w="700" w:type="dxa"/>
            <w:tcBorders>
              <w:top w:val="nil"/>
              <w:left w:val="single" w:sz="4" w:space="0" w:color="auto"/>
              <w:bottom w:val="single" w:sz="4" w:space="0" w:color="auto"/>
              <w:right w:val="single" w:sz="4" w:space="0" w:color="auto"/>
            </w:tcBorders>
            <w:shd w:val="clear" w:color="000000" w:fill="0066CC"/>
            <w:hideMark/>
          </w:tcPr>
          <w:p w14:paraId="0D78A5FE" w14:textId="77777777" w:rsidR="00842A83" w:rsidRPr="00842A83" w:rsidRDefault="00842A83" w:rsidP="00842A83">
            <w:pPr>
              <w:spacing w:after="0" w:line="240" w:lineRule="auto"/>
              <w:rPr>
                <w:rFonts w:ascii="Calibri" w:eastAsia="Times New Roman" w:hAnsi="Calibri" w:cs="Calibri"/>
                <w:b/>
                <w:bCs/>
                <w:color w:val="FFFFFF"/>
                <w:sz w:val="16"/>
                <w:szCs w:val="16"/>
                <w:lang w:eastAsia="en-GB"/>
              </w:rPr>
            </w:pPr>
            <w:r w:rsidRPr="00842A83">
              <w:rPr>
                <w:rFonts w:ascii="Calibri" w:eastAsia="Times New Roman" w:hAnsi="Calibri" w:cs="Calibri"/>
                <w:b/>
                <w:bCs/>
                <w:color w:val="FFFFFF"/>
                <w:sz w:val="16"/>
                <w:szCs w:val="16"/>
                <w:lang w:eastAsia="en-GB"/>
              </w:rPr>
              <w:t>Female</w:t>
            </w:r>
          </w:p>
        </w:tc>
        <w:tc>
          <w:tcPr>
            <w:tcW w:w="1280" w:type="dxa"/>
            <w:tcBorders>
              <w:top w:val="single" w:sz="4" w:space="0" w:color="979991"/>
              <w:left w:val="single" w:sz="4" w:space="0" w:color="979991"/>
              <w:bottom w:val="single" w:sz="4" w:space="0" w:color="979991"/>
              <w:right w:val="nil"/>
            </w:tcBorders>
            <w:shd w:val="clear" w:color="000000" w:fill="FFFFFF"/>
            <w:hideMark/>
          </w:tcPr>
          <w:p w14:paraId="6884A743" w14:textId="77777777" w:rsidR="00842A83" w:rsidRPr="00842A83" w:rsidRDefault="00842A83" w:rsidP="00842A83">
            <w:pPr>
              <w:spacing w:after="0" w:line="240" w:lineRule="auto"/>
              <w:jc w:val="right"/>
              <w:rPr>
                <w:rFonts w:ascii="Calibri" w:eastAsia="Times New Roman" w:hAnsi="Calibri" w:cs="Calibri"/>
                <w:color w:val="000000"/>
                <w:sz w:val="16"/>
                <w:szCs w:val="16"/>
                <w:lang w:eastAsia="en-GB"/>
              </w:rPr>
            </w:pPr>
            <w:r w:rsidRPr="00842A83">
              <w:rPr>
                <w:rFonts w:ascii="Calibri" w:eastAsia="Times New Roman" w:hAnsi="Calibri" w:cs="Calibri"/>
                <w:color w:val="000000"/>
                <w:sz w:val="16"/>
                <w:szCs w:val="16"/>
                <w:lang w:eastAsia="en-GB"/>
              </w:rPr>
              <w:t>17.00</w:t>
            </w:r>
          </w:p>
        </w:tc>
        <w:tc>
          <w:tcPr>
            <w:tcW w:w="1240" w:type="dxa"/>
            <w:tcBorders>
              <w:top w:val="single" w:sz="4" w:space="0" w:color="979991"/>
              <w:left w:val="single" w:sz="4" w:space="0" w:color="979991"/>
              <w:bottom w:val="single" w:sz="4" w:space="0" w:color="979991"/>
              <w:right w:val="nil"/>
            </w:tcBorders>
            <w:shd w:val="clear" w:color="000000" w:fill="FFFFFF"/>
            <w:hideMark/>
          </w:tcPr>
          <w:p w14:paraId="441192B3" w14:textId="77777777" w:rsidR="00842A83" w:rsidRPr="00842A83" w:rsidRDefault="00842A83" w:rsidP="00842A83">
            <w:pPr>
              <w:spacing w:after="0" w:line="240" w:lineRule="auto"/>
              <w:jc w:val="right"/>
              <w:rPr>
                <w:rFonts w:ascii="Calibri" w:eastAsia="Times New Roman" w:hAnsi="Calibri" w:cs="Calibri"/>
                <w:color w:val="000000"/>
                <w:sz w:val="16"/>
                <w:szCs w:val="16"/>
                <w:lang w:eastAsia="en-GB"/>
              </w:rPr>
            </w:pPr>
            <w:r w:rsidRPr="00842A83">
              <w:rPr>
                <w:rFonts w:ascii="Calibri" w:eastAsia="Times New Roman" w:hAnsi="Calibri" w:cs="Calibri"/>
                <w:color w:val="000000"/>
                <w:sz w:val="16"/>
                <w:szCs w:val="16"/>
                <w:lang w:eastAsia="en-GB"/>
              </w:rPr>
              <w:t>5538.00</w:t>
            </w:r>
          </w:p>
        </w:tc>
        <w:tc>
          <w:tcPr>
            <w:tcW w:w="460" w:type="dxa"/>
            <w:tcBorders>
              <w:top w:val="single" w:sz="4" w:space="0" w:color="979991"/>
              <w:left w:val="single" w:sz="4" w:space="0" w:color="979991"/>
              <w:bottom w:val="single" w:sz="4" w:space="0" w:color="979991"/>
              <w:right w:val="single" w:sz="4" w:space="0" w:color="979991"/>
            </w:tcBorders>
            <w:shd w:val="clear" w:color="000000" w:fill="FFFFFF"/>
            <w:hideMark/>
          </w:tcPr>
          <w:p w14:paraId="7135C34D" w14:textId="77777777" w:rsidR="00842A83" w:rsidRPr="00842A83" w:rsidRDefault="00842A83" w:rsidP="00842A83">
            <w:pPr>
              <w:spacing w:after="0" w:line="240" w:lineRule="auto"/>
              <w:jc w:val="right"/>
              <w:rPr>
                <w:rFonts w:ascii="Calibri" w:eastAsia="Times New Roman" w:hAnsi="Calibri" w:cs="Calibri"/>
                <w:color w:val="000000"/>
                <w:sz w:val="16"/>
                <w:szCs w:val="16"/>
                <w:lang w:eastAsia="en-GB"/>
              </w:rPr>
            </w:pPr>
            <w:r w:rsidRPr="00842A83">
              <w:rPr>
                <w:rFonts w:ascii="Calibri" w:eastAsia="Times New Roman" w:hAnsi="Calibri" w:cs="Calibri"/>
                <w:color w:val="000000"/>
                <w:sz w:val="16"/>
                <w:szCs w:val="16"/>
                <w:lang w:eastAsia="en-GB"/>
              </w:rPr>
              <w:t>0.31</w:t>
            </w:r>
          </w:p>
        </w:tc>
      </w:tr>
      <w:tr w:rsidR="00842A83" w:rsidRPr="00842A83" w14:paraId="1770DD91" w14:textId="77777777" w:rsidTr="00842A83">
        <w:trPr>
          <w:trHeight w:val="300"/>
        </w:trPr>
        <w:tc>
          <w:tcPr>
            <w:tcW w:w="700" w:type="dxa"/>
            <w:tcBorders>
              <w:top w:val="nil"/>
              <w:left w:val="single" w:sz="4" w:space="0" w:color="auto"/>
              <w:bottom w:val="single" w:sz="4" w:space="0" w:color="auto"/>
              <w:right w:val="single" w:sz="4" w:space="0" w:color="auto"/>
            </w:tcBorders>
            <w:shd w:val="clear" w:color="000000" w:fill="0066CC"/>
            <w:hideMark/>
          </w:tcPr>
          <w:p w14:paraId="284DB108" w14:textId="77777777" w:rsidR="00842A83" w:rsidRPr="00842A83" w:rsidRDefault="00842A83" w:rsidP="00842A83">
            <w:pPr>
              <w:spacing w:after="0" w:line="240" w:lineRule="auto"/>
              <w:rPr>
                <w:rFonts w:ascii="Calibri" w:eastAsia="Times New Roman" w:hAnsi="Calibri" w:cs="Calibri"/>
                <w:b/>
                <w:bCs/>
                <w:color w:val="FFFFFF"/>
                <w:sz w:val="16"/>
                <w:szCs w:val="16"/>
                <w:lang w:eastAsia="en-GB"/>
              </w:rPr>
            </w:pPr>
            <w:r w:rsidRPr="00842A83">
              <w:rPr>
                <w:rFonts w:ascii="Calibri" w:eastAsia="Times New Roman" w:hAnsi="Calibri" w:cs="Calibri"/>
                <w:b/>
                <w:bCs/>
                <w:color w:val="FFFFFF"/>
                <w:sz w:val="16"/>
                <w:szCs w:val="16"/>
                <w:lang w:eastAsia="en-GB"/>
              </w:rPr>
              <w:t>Male</w:t>
            </w:r>
          </w:p>
        </w:tc>
        <w:tc>
          <w:tcPr>
            <w:tcW w:w="1280" w:type="dxa"/>
            <w:tcBorders>
              <w:top w:val="nil"/>
              <w:left w:val="single" w:sz="4" w:space="0" w:color="979991"/>
              <w:bottom w:val="single" w:sz="4" w:space="0" w:color="979991"/>
              <w:right w:val="nil"/>
            </w:tcBorders>
            <w:shd w:val="clear" w:color="000000" w:fill="FFFFFF"/>
            <w:hideMark/>
          </w:tcPr>
          <w:p w14:paraId="478D3F98" w14:textId="77777777" w:rsidR="00842A83" w:rsidRPr="00842A83" w:rsidRDefault="00842A83" w:rsidP="00842A83">
            <w:pPr>
              <w:spacing w:after="0" w:line="240" w:lineRule="auto"/>
              <w:jc w:val="right"/>
              <w:rPr>
                <w:rFonts w:ascii="Calibri" w:eastAsia="Times New Roman" w:hAnsi="Calibri" w:cs="Calibri"/>
                <w:color w:val="000000"/>
                <w:sz w:val="16"/>
                <w:szCs w:val="16"/>
                <w:lang w:eastAsia="en-GB"/>
              </w:rPr>
            </w:pPr>
            <w:r w:rsidRPr="00842A83">
              <w:rPr>
                <w:rFonts w:ascii="Calibri" w:eastAsia="Times New Roman" w:hAnsi="Calibri" w:cs="Calibri"/>
                <w:color w:val="000000"/>
                <w:sz w:val="16"/>
                <w:szCs w:val="16"/>
                <w:lang w:eastAsia="en-GB"/>
              </w:rPr>
              <w:t>80.00</w:t>
            </w:r>
          </w:p>
        </w:tc>
        <w:tc>
          <w:tcPr>
            <w:tcW w:w="1240" w:type="dxa"/>
            <w:tcBorders>
              <w:top w:val="nil"/>
              <w:left w:val="single" w:sz="4" w:space="0" w:color="979991"/>
              <w:bottom w:val="single" w:sz="4" w:space="0" w:color="979991"/>
              <w:right w:val="nil"/>
            </w:tcBorders>
            <w:shd w:val="clear" w:color="000000" w:fill="FFFFFF"/>
            <w:hideMark/>
          </w:tcPr>
          <w:p w14:paraId="10CD9332" w14:textId="77777777" w:rsidR="00842A83" w:rsidRPr="00842A83" w:rsidRDefault="00842A83" w:rsidP="00842A83">
            <w:pPr>
              <w:spacing w:after="0" w:line="240" w:lineRule="auto"/>
              <w:jc w:val="right"/>
              <w:rPr>
                <w:rFonts w:ascii="Calibri" w:eastAsia="Times New Roman" w:hAnsi="Calibri" w:cs="Calibri"/>
                <w:color w:val="000000"/>
                <w:sz w:val="16"/>
                <w:szCs w:val="16"/>
                <w:lang w:eastAsia="en-GB"/>
              </w:rPr>
            </w:pPr>
            <w:r w:rsidRPr="00842A83">
              <w:rPr>
                <w:rFonts w:ascii="Calibri" w:eastAsia="Times New Roman" w:hAnsi="Calibri" w:cs="Calibri"/>
                <w:color w:val="000000"/>
                <w:sz w:val="16"/>
                <w:szCs w:val="16"/>
                <w:lang w:eastAsia="en-GB"/>
              </w:rPr>
              <w:t>1258.00</w:t>
            </w:r>
          </w:p>
        </w:tc>
        <w:tc>
          <w:tcPr>
            <w:tcW w:w="460" w:type="dxa"/>
            <w:tcBorders>
              <w:top w:val="nil"/>
              <w:left w:val="single" w:sz="4" w:space="0" w:color="979991"/>
              <w:bottom w:val="single" w:sz="4" w:space="0" w:color="979991"/>
              <w:right w:val="single" w:sz="4" w:space="0" w:color="979991"/>
            </w:tcBorders>
            <w:shd w:val="clear" w:color="000000" w:fill="FFFFFF"/>
            <w:hideMark/>
          </w:tcPr>
          <w:p w14:paraId="3994AAFF" w14:textId="77777777" w:rsidR="00842A83" w:rsidRPr="00842A83" w:rsidRDefault="00842A83" w:rsidP="00842A83">
            <w:pPr>
              <w:spacing w:after="0" w:line="240" w:lineRule="auto"/>
              <w:jc w:val="right"/>
              <w:rPr>
                <w:rFonts w:ascii="Calibri" w:eastAsia="Times New Roman" w:hAnsi="Calibri" w:cs="Calibri"/>
                <w:color w:val="000000"/>
                <w:sz w:val="16"/>
                <w:szCs w:val="16"/>
                <w:lang w:eastAsia="en-GB"/>
              </w:rPr>
            </w:pPr>
            <w:r w:rsidRPr="00842A83">
              <w:rPr>
                <w:rFonts w:ascii="Calibri" w:eastAsia="Times New Roman" w:hAnsi="Calibri" w:cs="Calibri"/>
                <w:color w:val="000000"/>
                <w:sz w:val="16"/>
                <w:szCs w:val="16"/>
                <w:lang w:eastAsia="en-GB"/>
              </w:rPr>
              <w:t>6.36</w:t>
            </w:r>
          </w:p>
        </w:tc>
      </w:tr>
    </w:tbl>
    <w:p w14:paraId="2EF94481" w14:textId="77777777" w:rsidR="00842A83" w:rsidRDefault="00842A83" w:rsidP="004B595F">
      <w:pPr>
        <w:pStyle w:val="Default"/>
        <w:jc w:val="both"/>
        <w:rPr>
          <w:sz w:val="22"/>
          <w:szCs w:val="22"/>
        </w:rPr>
      </w:pPr>
    </w:p>
    <w:bookmarkEnd w:id="1"/>
    <w:p w14:paraId="5B5AC7D8" w14:textId="396ED236" w:rsidR="0021660A" w:rsidRDefault="005B6F55" w:rsidP="004B595F">
      <w:pPr>
        <w:pStyle w:val="Default"/>
        <w:jc w:val="both"/>
        <w:rPr>
          <w:sz w:val="22"/>
          <w:szCs w:val="22"/>
        </w:rPr>
      </w:pPr>
      <w:r w:rsidRPr="005B6F55">
        <w:rPr>
          <w:sz w:val="22"/>
          <w:szCs w:val="22"/>
        </w:rPr>
        <w:t xml:space="preserve">These bonuses </w:t>
      </w:r>
      <w:r>
        <w:rPr>
          <w:sz w:val="22"/>
          <w:szCs w:val="22"/>
        </w:rPr>
        <w:t xml:space="preserve">were </w:t>
      </w:r>
      <w:r w:rsidRPr="005B6F55">
        <w:rPr>
          <w:sz w:val="22"/>
          <w:szCs w:val="22"/>
        </w:rPr>
        <w:t>received by 6</w:t>
      </w:r>
      <w:r>
        <w:rPr>
          <w:sz w:val="22"/>
          <w:szCs w:val="22"/>
        </w:rPr>
        <w:t>.36</w:t>
      </w:r>
      <w:r w:rsidRPr="005B6F55">
        <w:rPr>
          <w:sz w:val="22"/>
          <w:szCs w:val="22"/>
        </w:rPr>
        <w:t>% (8</w:t>
      </w:r>
      <w:r>
        <w:rPr>
          <w:sz w:val="22"/>
          <w:szCs w:val="22"/>
        </w:rPr>
        <w:t>0</w:t>
      </w:r>
      <w:r w:rsidRPr="005B6F55">
        <w:rPr>
          <w:sz w:val="22"/>
          <w:szCs w:val="22"/>
        </w:rPr>
        <w:t>) of all males</w:t>
      </w:r>
      <w:r>
        <w:rPr>
          <w:sz w:val="22"/>
          <w:szCs w:val="22"/>
        </w:rPr>
        <w:t xml:space="preserve"> compared </w:t>
      </w:r>
      <w:r w:rsidR="00990F54">
        <w:rPr>
          <w:sz w:val="22"/>
          <w:szCs w:val="22"/>
        </w:rPr>
        <w:t xml:space="preserve">with </w:t>
      </w:r>
      <w:r>
        <w:rPr>
          <w:sz w:val="22"/>
          <w:szCs w:val="22"/>
        </w:rPr>
        <w:t>0.31% (17) of all females</w:t>
      </w:r>
      <w:r w:rsidRPr="005B6F55">
        <w:rPr>
          <w:sz w:val="22"/>
          <w:szCs w:val="22"/>
        </w:rPr>
        <w:t xml:space="preserve"> </w:t>
      </w:r>
      <w:proofErr w:type="gramStart"/>
      <w:r>
        <w:rPr>
          <w:sz w:val="22"/>
          <w:szCs w:val="22"/>
        </w:rPr>
        <w:t>whom</w:t>
      </w:r>
      <w:proofErr w:type="gramEnd"/>
      <w:r>
        <w:rPr>
          <w:sz w:val="22"/>
          <w:szCs w:val="22"/>
        </w:rPr>
        <w:t xml:space="preserve"> work for the Trust.</w:t>
      </w:r>
    </w:p>
    <w:p w14:paraId="20C1B0C0" w14:textId="41A683FA" w:rsidR="004F0611" w:rsidRDefault="004F0611">
      <w:pPr>
        <w:rPr>
          <w:rFonts w:ascii="Calibri" w:hAnsi="Calibri" w:cs="Calibri"/>
          <w:color w:val="000000"/>
        </w:rPr>
      </w:pPr>
      <w:r>
        <w:br w:type="page"/>
      </w:r>
    </w:p>
    <w:p w14:paraId="2C21D993" w14:textId="77777777" w:rsidR="004F0611" w:rsidRDefault="004F0611" w:rsidP="004B595F">
      <w:pPr>
        <w:pStyle w:val="Default"/>
        <w:jc w:val="both"/>
        <w:rPr>
          <w:sz w:val="22"/>
          <w:szCs w:val="22"/>
        </w:rPr>
      </w:pPr>
    </w:p>
    <w:p w14:paraId="4920AB3D" w14:textId="6B833AEE" w:rsidR="000A7C2B" w:rsidRDefault="000A7C2B" w:rsidP="007C3DAB">
      <w:pPr>
        <w:pStyle w:val="Default"/>
        <w:numPr>
          <w:ilvl w:val="0"/>
          <w:numId w:val="10"/>
        </w:numPr>
        <w:ind w:hanging="720"/>
        <w:rPr>
          <w:b/>
          <w:bCs/>
          <w:sz w:val="28"/>
          <w:szCs w:val="22"/>
        </w:rPr>
      </w:pPr>
      <w:r>
        <w:rPr>
          <w:b/>
          <w:bCs/>
          <w:sz w:val="28"/>
          <w:szCs w:val="22"/>
        </w:rPr>
        <w:t>Agenda for Change</w:t>
      </w:r>
    </w:p>
    <w:p w14:paraId="2478AA15" w14:textId="77777777" w:rsidR="00990F54" w:rsidRDefault="00990F54" w:rsidP="00990F54">
      <w:pPr>
        <w:pStyle w:val="Default"/>
        <w:ind w:left="720"/>
        <w:rPr>
          <w:b/>
          <w:bCs/>
          <w:sz w:val="28"/>
          <w:szCs w:val="22"/>
        </w:rPr>
      </w:pPr>
    </w:p>
    <w:p w14:paraId="3FE3420D" w14:textId="6C8A682D" w:rsidR="000A7C2B" w:rsidRDefault="0028663D" w:rsidP="000A7C2B">
      <w:pPr>
        <w:pStyle w:val="Default"/>
        <w:rPr>
          <w:b/>
          <w:bCs/>
          <w:sz w:val="28"/>
          <w:szCs w:val="22"/>
        </w:rPr>
      </w:pPr>
      <w:r w:rsidRPr="0028663D">
        <w:rPr>
          <w:sz w:val="22"/>
          <w:szCs w:val="22"/>
        </w:rPr>
        <w:t xml:space="preserve">There are 5875 people employed </w:t>
      </w:r>
      <w:r>
        <w:rPr>
          <w:sz w:val="22"/>
          <w:szCs w:val="22"/>
        </w:rPr>
        <w:t xml:space="preserve">by the Trust </w:t>
      </w:r>
      <w:r w:rsidRPr="0028663D">
        <w:rPr>
          <w:sz w:val="22"/>
          <w:szCs w:val="22"/>
        </w:rPr>
        <w:t xml:space="preserve">under </w:t>
      </w:r>
      <w:r w:rsidR="00990F54">
        <w:rPr>
          <w:sz w:val="22"/>
          <w:szCs w:val="22"/>
        </w:rPr>
        <w:t>A</w:t>
      </w:r>
      <w:r w:rsidRPr="0028663D">
        <w:rPr>
          <w:sz w:val="22"/>
          <w:szCs w:val="22"/>
        </w:rPr>
        <w:t xml:space="preserve">genda for </w:t>
      </w:r>
      <w:r w:rsidR="00990F54">
        <w:rPr>
          <w:sz w:val="22"/>
          <w:szCs w:val="22"/>
        </w:rPr>
        <w:t>C</w:t>
      </w:r>
      <w:r w:rsidRPr="0028663D">
        <w:rPr>
          <w:sz w:val="22"/>
          <w:szCs w:val="22"/>
        </w:rPr>
        <w:t>hange</w:t>
      </w:r>
      <w:r>
        <w:rPr>
          <w:sz w:val="22"/>
          <w:szCs w:val="22"/>
        </w:rPr>
        <w:t xml:space="preserve">. From band 1 through to band 9a, the breakdown of gender is 5095 females and 780 males. </w:t>
      </w:r>
      <w:r w:rsidR="00A67F62">
        <w:rPr>
          <w:sz w:val="22"/>
          <w:szCs w:val="22"/>
        </w:rPr>
        <w:t xml:space="preserve">Notably, in the senior roles at band 8a and above, females hold the majority with 69% of the 236 job roles. As noted in the table below. </w:t>
      </w:r>
    </w:p>
    <w:p w14:paraId="4246C60A" w14:textId="337FD913" w:rsidR="00A67F62" w:rsidRDefault="00CB5A70" w:rsidP="00A67F62">
      <w:pPr>
        <w:pStyle w:val="Default"/>
        <w:jc w:val="center"/>
        <w:rPr>
          <w:b/>
          <w:bCs/>
          <w:sz w:val="28"/>
          <w:szCs w:val="22"/>
        </w:rPr>
      </w:pPr>
      <w:r>
        <w:rPr>
          <w:noProof/>
        </w:rPr>
        <w:drawing>
          <wp:inline distT="0" distB="0" distL="0" distR="0" wp14:anchorId="4AB78E69" wp14:editId="7EDF2A2F">
            <wp:extent cx="45529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2950" cy="609600"/>
                    </a:xfrm>
                    <a:prstGeom prst="rect">
                      <a:avLst/>
                    </a:prstGeom>
                  </pic:spPr>
                </pic:pic>
              </a:graphicData>
            </a:graphic>
          </wp:inline>
        </w:drawing>
      </w:r>
    </w:p>
    <w:p w14:paraId="76720E78" w14:textId="77777777" w:rsidR="000A7C2B" w:rsidRDefault="000A7C2B" w:rsidP="000A7C2B">
      <w:pPr>
        <w:pStyle w:val="Default"/>
        <w:rPr>
          <w:b/>
          <w:bCs/>
          <w:sz w:val="28"/>
          <w:szCs w:val="22"/>
        </w:rPr>
      </w:pPr>
    </w:p>
    <w:p w14:paraId="432A8223" w14:textId="14CB7CF6" w:rsidR="00012190" w:rsidRDefault="00012190" w:rsidP="007C3DAB">
      <w:pPr>
        <w:pStyle w:val="Default"/>
        <w:numPr>
          <w:ilvl w:val="0"/>
          <w:numId w:val="10"/>
        </w:numPr>
        <w:ind w:hanging="720"/>
        <w:rPr>
          <w:b/>
          <w:bCs/>
          <w:sz w:val="28"/>
          <w:szCs w:val="22"/>
        </w:rPr>
      </w:pPr>
      <w:r w:rsidRPr="00CF7782">
        <w:rPr>
          <w:b/>
          <w:bCs/>
          <w:sz w:val="28"/>
          <w:szCs w:val="22"/>
        </w:rPr>
        <w:t xml:space="preserve">Narrative </w:t>
      </w:r>
    </w:p>
    <w:p w14:paraId="5D85B186" w14:textId="77777777" w:rsidR="00990F54" w:rsidRDefault="00990F54" w:rsidP="00990F54">
      <w:pPr>
        <w:pStyle w:val="Default"/>
        <w:ind w:left="720"/>
        <w:rPr>
          <w:b/>
          <w:bCs/>
          <w:sz w:val="28"/>
          <w:szCs w:val="22"/>
        </w:rPr>
      </w:pPr>
    </w:p>
    <w:p w14:paraId="25096695" w14:textId="77777777" w:rsidR="00A67F62" w:rsidRDefault="00A67F62" w:rsidP="00A67F62">
      <w:pPr>
        <w:pStyle w:val="Default"/>
        <w:ind w:left="360"/>
        <w:jc w:val="both"/>
        <w:rPr>
          <w:sz w:val="22"/>
          <w:szCs w:val="22"/>
        </w:rPr>
      </w:pPr>
      <w:r>
        <w:rPr>
          <w:sz w:val="22"/>
          <w:szCs w:val="22"/>
        </w:rPr>
        <w:t xml:space="preserve">On the </w:t>
      </w:r>
      <w:r w:rsidRPr="005B3171">
        <w:rPr>
          <w:sz w:val="22"/>
          <w:szCs w:val="22"/>
        </w:rPr>
        <w:t>31 March 2022, the Trust employed a total of 6530 people including AFC, Medical and Dental and Consultants. Of the 6530 people, 5338 are female and 1192 are male.</w:t>
      </w:r>
      <w:r>
        <w:rPr>
          <w:sz w:val="22"/>
          <w:szCs w:val="22"/>
        </w:rPr>
        <w:t xml:space="preserve"> </w:t>
      </w:r>
    </w:p>
    <w:p w14:paraId="74B13A04" w14:textId="77777777" w:rsidR="00A67F62" w:rsidRDefault="00A67F62" w:rsidP="00A67F62">
      <w:pPr>
        <w:pStyle w:val="Default"/>
        <w:ind w:left="360"/>
        <w:jc w:val="both"/>
        <w:rPr>
          <w:sz w:val="22"/>
          <w:szCs w:val="22"/>
        </w:rPr>
      </w:pPr>
      <w:r>
        <w:rPr>
          <w:sz w:val="22"/>
          <w:szCs w:val="22"/>
        </w:rPr>
        <w:t xml:space="preserve">The gender pay gap percentage difference is 34.8% in favour of males. </w:t>
      </w:r>
    </w:p>
    <w:p w14:paraId="4E0BAE21" w14:textId="3FB79A92" w:rsidR="00A67F62" w:rsidRDefault="00A67F62" w:rsidP="00A67F62">
      <w:pPr>
        <w:pStyle w:val="Default"/>
        <w:ind w:left="360"/>
        <w:jc w:val="both"/>
        <w:rPr>
          <w:sz w:val="22"/>
          <w:szCs w:val="22"/>
        </w:rPr>
      </w:pPr>
      <w:r>
        <w:rPr>
          <w:sz w:val="22"/>
          <w:szCs w:val="22"/>
        </w:rPr>
        <w:t xml:space="preserve">Whilst </w:t>
      </w:r>
      <w:r w:rsidR="007D28BF">
        <w:rPr>
          <w:sz w:val="22"/>
          <w:szCs w:val="22"/>
        </w:rPr>
        <w:t>most of</w:t>
      </w:r>
      <w:r>
        <w:rPr>
          <w:sz w:val="22"/>
          <w:szCs w:val="22"/>
        </w:rPr>
        <w:t xml:space="preserve"> the workforce is female, it is the consultant body where the pay rates are highest.  Of the </w:t>
      </w:r>
      <w:r w:rsidRPr="00EA12CE">
        <w:rPr>
          <w:sz w:val="22"/>
          <w:szCs w:val="22"/>
        </w:rPr>
        <w:t xml:space="preserve">265 consultants 192 are male. </w:t>
      </w:r>
      <w:r>
        <w:rPr>
          <w:sz w:val="22"/>
          <w:szCs w:val="22"/>
        </w:rPr>
        <w:t xml:space="preserve"> </w:t>
      </w:r>
    </w:p>
    <w:p w14:paraId="1A1844DC" w14:textId="14D828BD" w:rsidR="004F0611" w:rsidRDefault="004F0611" w:rsidP="00A67F62">
      <w:pPr>
        <w:pStyle w:val="Default"/>
        <w:ind w:left="360"/>
        <w:jc w:val="both"/>
        <w:rPr>
          <w:sz w:val="22"/>
          <w:szCs w:val="22"/>
        </w:rPr>
      </w:pPr>
      <w:r>
        <w:rPr>
          <w:sz w:val="22"/>
          <w:szCs w:val="22"/>
        </w:rPr>
        <w:t xml:space="preserve">When reviewing the medical positions, there are a total of 610 medical positions in DBTH. Gender </w:t>
      </w:r>
      <w:proofErr w:type="gramStart"/>
      <w:r>
        <w:rPr>
          <w:sz w:val="22"/>
          <w:szCs w:val="22"/>
        </w:rPr>
        <w:t>break</w:t>
      </w:r>
      <w:proofErr w:type="gramEnd"/>
      <w:r>
        <w:rPr>
          <w:sz w:val="22"/>
          <w:szCs w:val="22"/>
        </w:rPr>
        <w:t xml:space="preserve"> down of this equates to 217 female (35.5%) to 393 male (64.5%).</w:t>
      </w:r>
    </w:p>
    <w:p w14:paraId="44306D64" w14:textId="77777777" w:rsidR="00A67F62" w:rsidRDefault="00A67F62" w:rsidP="00A67F62">
      <w:pPr>
        <w:pStyle w:val="Default"/>
        <w:ind w:left="720"/>
        <w:rPr>
          <w:b/>
          <w:bCs/>
          <w:sz w:val="28"/>
          <w:szCs w:val="22"/>
        </w:rPr>
      </w:pPr>
    </w:p>
    <w:p w14:paraId="4B77D4D0" w14:textId="00A083DD" w:rsidR="00A67F62" w:rsidRDefault="00A67F62" w:rsidP="007C3DAB">
      <w:pPr>
        <w:pStyle w:val="Default"/>
        <w:numPr>
          <w:ilvl w:val="0"/>
          <w:numId w:val="10"/>
        </w:numPr>
        <w:ind w:hanging="720"/>
        <w:rPr>
          <w:b/>
          <w:bCs/>
          <w:sz w:val="28"/>
          <w:szCs w:val="22"/>
        </w:rPr>
      </w:pPr>
      <w:r>
        <w:rPr>
          <w:b/>
          <w:bCs/>
          <w:sz w:val="28"/>
          <w:szCs w:val="22"/>
        </w:rPr>
        <w:t>Reducing the Gap</w:t>
      </w:r>
    </w:p>
    <w:p w14:paraId="28EF54C2" w14:textId="77777777" w:rsidR="00990F54" w:rsidRDefault="00990F54" w:rsidP="00990F54">
      <w:pPr>
        <w:pStyle w:val="Default"/>
        <w:ind w:left="720"/>
        <w:rPr>
          <w:b/>
          <w:bCs/>
          <w:sz w:val="28"/>
          <w:szCs w:val="22"/>
        </w:rPr>
      </w:pPr>
    </w:p>
    <w:p w14:paraId="6A8EDCB2" w14:textId="6CF83872" w:rsidR="00A67F62" w:rsidRDefault="00A67F62" w:rsidP="00A67F62">
      <w:pPr>
        <w:pStyle w:val="Default"/>
        <w:ind w:left="426"/>
        <w:rPr>
          <w:sz w:val="22"/>
          <w:szCs w:val="22"/>
        </w:rPr>
      </w:pPr>
      <w:r w:rsidRPr="00A67F62">
        <w:rPr>
          <w:sz w:val="22"/>
          <w:szCs w:val="22"/>
        </w:rPr>
        <w:t xml:space="preserve">To address the disparity in </w:t>
      </w:r>
      <w:proofErr w:type="gramStart"/>
      <w:r w:rsidRPr="00A67F62">
        <w:rPr>
          <w:sz w:val="22"/>
          <w:szCs w:val="22"/>
        </w:rPr>
        <w:t>gender</w:t>
      </w:r>
      <w:proofErr w:type="gramEnd"/>
      <w:r w:rsidRPr="00A67F62">
        <w:rPr>
          <w:sz w:val="22"/>
          <w:szCs w:val="22"/>
        </w:rPr>
        <w:t xml:space="preserve"> pay gap, the </w:t>
      </w:r>
      <w:r>
        <w:rPr>
          <w:sz w:val="22"/>
          <w:szCs w:val="22"/>
        </w:rPr>
        <w:t xml:space="preserve">Trust is tackling this in two ways. Firstly, through developing </w:t>
      </w:r>
      <w:r w:rsidR="007D28BF">
        <w:rPr>
          <w:sz w:val="22"/>
          <w:szCs w:val="22"/>
        </w:rPr>
        <w:t>females’</w:t>
      </w:r>
      <w:r>
        <w:rPr>
          <w:sz w:val="22"/>
          <w:szCs w:val="22"/>
        </w:rPr>
        <w:t xml:space="preserve"> opportunities for career progression through Trust leadership programmes such as Belong, Develop</w:t>
      </w:r>
      <w:r w:rsidR="007D28BF">
        <w:rPr>
          <w:sz w:val="22"/>
          <w:szCs w:val="22"/>
        </w:rPr>
        <w:t xml:space="preserve">, Thrive and Leading to Outstanding.  In 2022 and 2023 the Trust is running a reciprocal mentoring programme for established leaders and aspiring leaders with protected characteristics. </w:t>
      </w:r>
      <w:r>
        <w:rPr>
          <w:sz w:val="22"/>
          <w:szCs w:val="22"/>
        </w:rPr>
        <w:t xml:space="preserve">  </w:t>
      </w:r>
    </w:p>
    <w:p w14:paraId="099A544B" w14:textId="77777777" w:rsidR="00990F54" w:rsidRDefault="00990F54" w:rsidP="00A67F62">
      <w:pPr>
        <w:pStyle w:val="Default"/>
        <w:ind w:left="426"/>
        <w:rPr>
          <w:sz w:val="22"/>
          <w:szCs w:val="22"/>
        </w:rPr>
      </w:pPr>
    </w:p>
    <w:p w14:paraId="1D407B2C" w14:textId="17A843EC" w:rsidR="007D28BF" w:rsidRDefault="007D28BF" w:rsidP="007D28BF">
      <w:pPr>
        <w:pStyle w:val="Default"/>
        <w:ind w:left="426"/>
        <w:rPr>
          <w:sz w:val="22"/>
          <w:szCs w:val="22"/>
        </w:rPr>
      </w:pPr>
      <w:r>
        <w:rPr>
          <w:sz w:val="22"/>
          <w:szCs w:val="22"/>
        </w:rPr>
        <w:t xml:space="preserve">In addition to the leadership programmes, the new People Strategy 2023 – 2027 has set high priorities on flexible working, </w:t>
      </w:r>
      <w:r w:rsidRPr="007D28BF">
        <w:rPr>
          <w:sz w:val="22"/>
          <w:szCs w:val="22"/>
        </w:rPr>
        <w:t>strengthening our menopause support</w:t>
      </w:r>
      <w:r>
        <w:rPr>
          <w:sz w:val="22"/>
          <w:szCs w:val="22"/>
        </w:rPr>
        <w:t xml:space="preserve"> </w:t>
      </w:r>
      <w:r w:rsidRPr="007D28BF">
        <w:rPr>
          <w:sz w:val="22"/>
          <w:szCs w:val="22"/>
        </w:rPr>
        <w:t>provision, including developing a clear policy,</w:t>
      </w:r>
      <w:r>
        <w:rPr>
          <w:sz w:val="22"/>
          <w:szCs w:val="22"/>
        </w:rPr>
        <w:t xml:space="preserve"> </w:t>
      </w:r>
      <w:r w:rsidRPr="007D28BF">
        <w:rPr>
          <w:sz w:val="22"/>
          <w:szCs w:val="22"/>
        </w:rPr>
        <w:t>providing education, and seeking Menopause</w:t>
      </w:r>
      <w:r>
        <w:rPr>
          <w:sz w:val="22"/>
          <w:szCs w:val="22"/>
        </w:rPr>
        <w:t xml:space="preserve"> </w:t>
      </w:r>
      <w:r w:rsidRPr="007D28BF">
        <w:rPr>
          <w:sz w:val="22"/>
          <w:szCs w:val="22"/>
        </w:rPr>
        <w:t>Friendly Accreditation</w:t>
      </w:r>
      <w:r>
        <w:rPr>
          <w:sz w:val="22"/>
          <w:szCs w:val="22"/>
        </w:rPr>
        <w:t>. E</w:t>
      </w:r>
      <w:r w:rsidRPr="007D28BF">
        <w:rPr>
          <w:sz w:val="22"/>
          <w:szCs w:val="22"/>
        </w:rPr>
        <w:t>nhancing our inclusive recruitment practices</w:t>
      </w:r>
      <w:r>
        <w:rPr>
          <w:sz w:val="22"/>
          <w:szCs w:val="22"/>
        </w:rPr>
        <w:t xml:space="preserve">. </w:t>
      </w:r>
      <w:r w:rsidRPr="007D28BF">
        <w:rPr>
          <w:sz w:val="22"/>
          <w:szCs w:val="22"/>
        </w:rPr>
        <w:t>Developing a new approach to increase</w:t>
      </w:r>
      <w:r>
        <w:rPr>
          <w:sz w:val="22"/>
          <w:szCs w:val="22"/>
        </w:rPr>
        <w:t xml:space="preserve"> </w:t>
      </w:r>
      <w:r w:rsidRPr="007D28BF">
        <w:rPr>
          <w:sz w:val="22"/>
          <w:szCs w:val="22"/>
        </w:rPr>
        <w:t>Board-level diversity through a development</w:t>
      </w:r>
      <w:r>
        <w:rPr>
          <w:sz w:val="22"/>
          <w:szCs w:val="22"/>
        </w:rPr>
        <w:t xml:space="preserve"> </w:t>
      </w:r>
      <w:r w:rsidRPr="007D28BF">
        <w:rPr>
          <w:sz w:val="22"/>
          <w:szCs w:val="22"/>
        </w:rPr>
        <w:t>programme to support applicants from underrepresented</w:t>
      </w:r>
      <w:r>
        <w:rPr>
          <w:sz w:val="22"/>
          <w:szCs w:val="22"/>
        </w:rPr>
        <w:t xml:space="preserve"> </w:t>
      </w:r>
      <w:r w:rsidRPr="007D28BF">
        <w:rPr>
          <w:sz w:val="22"/>
          <w:szCs w:val="22"/>
        </w:rPr>
        <w:t>groups.</w:t>
      </w:r>
    </w:p>
    <w:p w14:paraId="073D5DD3" w14:textId="584513EF" w:rsidR="007D28BF" w:rsidRDefault="007D28BF" w:rsidP="007D28BF">
      <w:pPr>
        <w:pStyle w:val="Default"/>
        <w:ind w:left="426"/>
        <w:rPr>
          <w:sz w:val="22"/>
          <w:szCs w:val="22"/>
        </w:rPr>
      </w:pPr>
    </w:p>
    <w:p w14:paraId="7D315404" w14:textId="7C80840B" w:rsidR="007D28BF" w:rsidRPr="00A67F62" w:rsidRDefault="007D28BF" w:rsidP="00A67F62">
      <w:pPr>
        <w:pStyle w:val="Default"/>
        <w:ind w:left="426"/>
        <w:rPr>
          <w:sz w:val="22"/>
          <w:szCs w:val="22"/>
        </w:rPr>
      </w:pPr>
      <w:r>
        <w:rPr>
          <w:sz w:val="22"/>
          <w:szCs w:val="22"/>
        </w:rPr>
        <w:t>The second approach involves</w:t>
      </w:r>
      <w:r w:rsidR="00A019B9">
        <w:rPr>
          <w:sz w:val="22"/>
          <w:szCs w:val="22"/>
        </w:rPr>
        <w:t xml:space="preserve"> taking steps to</w:t>
      </w:r>
      <w:r>
        <w:rPr>
          <w:sz w:val="22"/>
          <w:szCs w:val="22"/>
        </w:rPr>
        <w:t xml:space="preserve"> increa</w:t>
      </w:r>
      <w:r w:rsidR="00A019B9">
        <w:rPr>
          <w:sz w:val="22"/>
          <w:szCs w:val="22"/>
        </w:rPr>
        <w:t>se</w:t>
      </w:r>
      <w:r>
        <w:rPr>
          <w:sz w:val="22"/>
          <w:szCs w:val="22"/>
        </w:rPr>
        <w:t xml:space="preserve"> the numbers of female consultants into the Trust Consultant body. In December 2022, the Trust launched a working group on workforce retention and talent management. </w:t>
      </w:r>
      <w:r w:rsidR="00BA160D">
        <w:rPr>
          <w:sz w:val="22"/>
          <w:szCs w:val="22"/>
        </w:rPr>
        <w:t xml:space="preserve">With increasingly more females entering the medical profession, the Trust is actively working to provide opportunities </w:t>
      </w:r>
      <w:r w:rsidR="00990F54">
        <w:rPr>
          <w:sz w:val="22"/>
          <w:szCs w:val="22"/>
        </w:rPr>
        <w:t xml:space="preserve">for </w:t>
      </w:r>
      <w:r w:rsidR="00BA160D">
        <w:rPr>
          <w:sz w:val="22"/>
          <w:szCs w:val="22"/>
        </w:rPr>
        <w:t xml:space="preserve">sustainable pathways and working conditions to increase the numbers of females into the consultant body. </w:t>
      </w:r>
    </w:p>
    <w:p w14:paraId="00435F7B" w14:textId="77777777" w:rsidR="00A67F62" w:rsidRDefault="00A67F62" w:rsidP="00A67F62">
      <w:pPr>
        <w:pStyle w:val="Default"/>
        <w:ind w:left="426"/>
        <w:rPr>
          <w:b/>
          <w:bCs/>
          <w:sz w:val="28"/>
          <w:szCs w:val="22"/>
        </w:rPr>
      </w:pPr>
    </w:p>
    <w:p w14:paraId="5EBA38CC" w14:textId="224CFAC0" w:rsidR="00A67F62" w:rsidRDefault="00A67F62" w:rsidP="007C3DAB">
      <w:pPr>
        <w:pStyle w:val="Default"/>
        <w:numPr>
          <w:ilvl w:val="0"/>
          <w:numId w:val="10"/>
        </w:numPr>
        <w:ind w:hanging="720"/>
        <w:rPr>
          <w:b/>
          <w:bCs/>
          <w:sz w:val="28"/>
          <w:szCs w:val="22"/>
        </w:rPr>
      </w:pPr>
      <w:r>
        <w:rPr>
          <w:b/>
          <w:bCs/>
          <w:sz w:val="28"/>
          <w:szCs w:val="22"/>
        </w:rPr>
        <w:t>Conclusion</w:t>
      </w:r>
    </w:p>
    <w:p w14:paraId="0BF4C890" w14:textId="77777777" w:rsidR="00A67F62" w:rsidRPr="00CF7782" w:rsidRDefault="00A67F62" w:rsidP="00A67F62">
      <w:pPr>
        <w:pStyle w:val="Default"/>
        <w:ind w:left="720"/>
        <w:rPr>
          <w:b/>
          <w:bCs/>
          <w:sz w:val="28"/>
          <w:szCs w:val="22"/>
        </w:rPr>
      </w:pPr>
    </w:p>
    <w:p w14:paraId="457D5791" w14:textId="0F4F55D2" w:rsidR="005B3171" w:rsidRDefault="003D5307" w:rsidP="00CE5DCA">
      <w:pPr>
        <w:pStyle w:val="Default"/>
        <w:ind w:left="426"/>
        <w:jc w:val="both"/>
        <w:rPr>
          <w:sz w:val="22"/>
          <w:szCs w:val="22"/>
        </w:rPr>
      </w:pPr>
      <w:r w:rsidRPr="003D5307">
        <w:rPr>
          <w:sz w:val="22"/>
          <w:szCs w:val="22"/>
        </w:rPr>
        <w:t xml:space="preserve">The </w:t>
      </w:r>
      <w:r>
        <w:rPr>
          <w:sz w:val="22"/>
          <w:szCs w:val="22"/>
        </w:rPr>
        <w:t>G</w:t>
      </w:r>
      <w:r w:rsidRPr="003D5307">
        <w:rPr>
          <w:sz w:val="22"/>
          <w:szCs w:val="22"/>
        </w:rPr>
        <w:t xml:space="preserve">ender </w:t>
      </w:r>
      <w:r>
        <w:rPr>
          <w:sz w:val="22"/>
          <w:szCs w:val="22"/>
        </w:rPr>
        <w:t>P</w:t>
      </w:r>
      <w:r w:rsidRPr="003D5307">
        <w:rPr>
          <w:sz w:val="22"/>
          <w:szCs w:val="22"/>
        </w:rPr>
        <w:t xml:space="preserve">ay </w:t>
      </w:r>
      <w:r>
        <w:rPr>
          <w:sz w:val="22"/>
          <w:szCs w:val="22"/>
        </w:rPr>
        <w:t>G</w:t>
      </w:r>
      <w:r w:rsidRPr="003D5307">
        <w:rPr>
          <w:sz w:val="22"/>
          <w:szCs w:val="22"/>
        </w:rPr>
        <w:t xml:space="preserve">ap </w:t>
      </w:r>
      <w:r>
        <w:rPr>
          <w:sz w:val="22"/>
          <w:szCs w:val="22"/>
        </w:rPr>
        <w:t>data relatin</w:t>
      </w:r>
      <w:r w:rsidR="00673BBC">
        <w:rPr>
          <w:sz w:val="22"/>
          <w:szCs w:val="22"/>
        </w:rPr>
        <w:t xml:space="preserve">g to 2022 for the Trust </w:t>
      </w:r>
      <w:r w:rsidR="00BD478A">
        <w:rPr>
          <w:sz w:val="22"/>
          <w:szCs w:val="22"/>
        </w:rPr>
        <w:t>must</w:t>
      </w:r>
      <w:r w:rsidR="00673BBC">
        <w:rPr>
          <w:sz w:val="22"/>
          <w:szCs w:val="22"/>
        </w:rPr>
        <w:t xml:space="preserve"> </w:t>
      </w:r>
      <w:r w:rsidR="009A5F7B">
        <w:rPr>
          <w:sz w:val="22"/>
          <w:szCs w:val="22"/>
        </w:rPr>
        <w:t>be submitted</w:t>
      </w:r>
      <w:r w:rsidR="00673BBC">
        <w:rPr>
          <w:sz w:val="22"/>
          <w:szCs w:val="22"/>
        </w:rPr>
        <w:t xml:space="preserve"> by 31 March 2023</w:t>
      </w:r>
      <w:r w:rsidR="00A22172">
        <w:rPr>
          <w:sz w:val="22"/>
          <w:szCs w:val="22"/>
        </w:rPr>
        <w:t xml:space="preserve"> to the Government portal</w:t>
      </w:r>
      <w:r>
        <w:rPr>
          <w:sz w:val="22"/>
          <w:szCs w:val="22"/>
        </w:rPr>
        <w:t>. The data shows that the percentage difference in average (mean) hourly pay is in favour of males with 34.77%. The percentage difference in median hourly pay is 28.9% in favour of males. The Trust</w:t>
      </w:r>
      <w:r w:rsidR="00990F54">
        <w:rPr>
          <w:sz w:val="22"/>
          <w:szCs w:val="22"/>
        </w:rPr>
        <w:t>’s</w:t>
      </w:r>
      <w:r>
        <w:rPr>
          <w:sz w:val="22"/>
          <w:szCs w:val="22"/>
        </w:rPr>
        <w:t xml:space="preserve"> workforce gender percentage is approximately 86% female to approximately 13% male in all except the highest quartile pay ranges.  In the highest quartile, the male percentage increases to 33.79%.  </w:t>
      </w:r>
      <w:r w:rsidR="00BD478A">
        <w:rPr>
          <w:sz w:val="22"/>
          <w:szCs w:val="22"/>
        </w:rPr>
        <w:t>T</w:t>
      </w:r>
      <w:r>
        <w:rPr>
          <w:sz w:val="22"/>
          <w:szCs w:val="22"/>
        </w:rPr>
        <w:t xml:space="preserve">his percentage increase is due to the high percentage of males 192 out of 265 (72.5%) in the consultant body. </w:t>
      </w:r>
    </w:p>
    <w:p w14:paraId="719C10E2" w14:textId="77777777" w:rsidR="00990F54" w:rsidRDefault="00990F54" w:rsidP="00CE5DCA">
      <w:pPr>
        <w:pStyle w:val="Default"/>
        <w:ind w:left="426"/>
        <w:jc w:val="both"/>
        <w:rPr>
          <w:sz w:val="22"/>
          <w:szCs w:val="22"/>
        </w:rPr>
      </w:pPr>
    </w:p>
    <w:p w14:paraId="1732654E" w14:textId="1595486D" w:rsidR="00BD478A" w:rsidRDefault="00BD478A" w:rsidP="00CE5DCA">
      <w:pPr>
        <w:pStyle w:val="Default"/>
        <w:ind w:left="426"/>
        <w:jc w:val="both"/>
        <w:rPr>
          <w:sz w:val="22"/>
          <w:szCs w:val="22"/>
        </w:rPr>
      </w:pPr>
      <w:r>
        <w:rPr>
          <w:sz w:val="22"/>
          <w:szCs w:val="22"/>
        </w:rPr>
        <w:t>The table below details the comparison between March 2021 with March 2022.</w:t>
      </w:r>
    </w:p>
    <w:p w14:paraId="17E6C180" w14:textId="0A9A0C8B" w:rsidR="00BD478A" w:rsidRDefault="00BD478A" w:rsidP="00CE5DCA">
      <w:pPr>
        <w:pStyle w:val="Default"/>
        <w:ind w:left="426"/>
        <w:jc w:val="both"/>
        <w:rPr>
          <w:sz w:val="22"/>
          <w:szCs w:val="22"/>
        </w:rPr>
      </w:pPr>
    </w:p>
    <w:p w14:paraId="52DFEE16" w14:textId="46A794F9" w:rsidR="00BD478A" w:rsidRDefault="00BD478A" w:rsidP="00CE5DCA">
      <w:pPr>
        <w:pStyle w:val="Default"/>
        <w:ind w:left="426"/>
        <w:jc w:val="both"/>
        <w:rPr>
          <w:sz w:val="22"/>
          <w:szCs w:val="22"/>
        </w:rPr>
      </w:pPr>
      <w:r w:rsidRPr="00BD478A">
        <w:rPr>
          <w:noProof/>
        </w:rPr>
        <w:drawing>
          <wp:inline distT="0" distB="0" distL="0" distR="0" wp14:anchorId="7A8FFB55" wp14:editId="14D48E87">
            <wp:extent cx="5731510" cy="31984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98495"/>
                    </a:xfrm>
                    <a:prstGeom prst="rect">
                      <a:avLst/>
                    </a:prstGeom>
                    <a:noFill/>
                    <a:ln>
                      <a:noFill/>
                    </a:ln>
                  </pic:spPr>
                </pic:pic>
              </a:graphicData>
            </a:graphic>
          </wp:inline>
        </w:drawing>
      </w:r>
    </w:p>
    <w:p w14:paraId="4DD6379E" w14:textId="77777777" w:rsidR="00BD478A" w:rsidRDefault="00BD478A" w:rsidP="00CE5DCA">
      <w:pPr>
        <w:pStyle w:val="Default"/>
        <w:ind w:left="426"/>
        <w:jc w:val="both"/>
        <w:rPr>
          <w:sz w:val="22"/>
          <w:szCs w:val="22"/>
        </w:rPr>
      </w:pPr>
    </w:p>
    <w:p w14:paraId="1F47C72C" w14:textId="3F4A4E5F" w:rsidR="009E3295" w:rsidRDefault="009E3295" w:rsidP="00CE5DCA">
      <w:pPr>
        <w:pStyle w:val="Default"/>
        <w:ind w:left="426"/>
        <w:jc w:val="both"/>
        <w:rPr>
          <w:sz w:val="22"/>
          <w:szCs w:val="22"/>
        </w:rPr>
      </w:pPr>
      <w:r>
        <w:rPr>
          <w:sz w:val="22"/>
          <w:szCs w:val="22"/>
        </w:rPr>
        <w:t>In a review of the workforce based on gender, to bridge the gender pay gap, the Trust is working on increasing the number of females into the consultant body.</w:t>
      </w:r>
    </w:p>
    <w:p w14:paraId="146D0493" w14:textId="77777777" w:rsidR="009E3295" w:rsidRPr="003D5307" w:rsidRDefault="009E3295" w:rsidP="00CE5DCA">
      <w:pPr>
        <w:pStyle w:val="Default"/>
        <w:ind w:left="426"/>
        <w:jc w:val="both"/>
        <w:rPr>
          <w:sz w:val="22"/>
          <w:szCs w:val="22"/>
        </w:rPr>
      </w:pPr>
    </w:p>
    <w:p w14:paraId="6072D629" w14:textId="694FCEFB" w:rsidR="007B78ED" w:rsidRPr="008056F5" w:rsidRDefault="008056F5" w:rsidP="008056F5">
      <w:pPr>
        <w:ind w:left="360"/>
        <w:rPr>
          <w:color w:val="000000" w:themeColor="text1"/>
        </w:rPr>
      </w:pPr>
      <w:r w:rsidRPr="008056F5">
        <w:rPr>
          <w:color w:val="000000" w:themeColor="text1"/>
        </w:rPr>
        <w:t xml:space="preserve">  </w:t>
      </w:r>
      <w:r w:rsidR="00B1457B" w:rsidRPr="008056F5">
        <w:rPr>
          <w:color w:val="000000" w:themeColor="text1"/>
        </w:rPr>
        <w:t xml:space="preserve"> </w:t>
      </w:r>
    </w:p>
    <w:sectPr w:rsidR="007B78ED" w:rsidRPr="008056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B94D" w14:textId="77777777" w:rsidR="00937CB6" w:rsidRDefault="00937CB6" w:rsidP="00B1457B">
      <w:pPr>
        <w:spacing w:after="0" w:line="240" w:lineRule="auto"/>
      </w:pPr>
      <w:r>
        <w:separator/>
      </w:r>
    </w:p>
  </w:endnote>
  <w:endnote w:type="continuationSeparator" w:id="0">
    <w:p w14:paraId="38EF28C3" w14:textId="77777777" w:rsidR="00937CB6" w:rsidRDefault="00937CB6" w:rsidP="00B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0F37" w14:textId="77777777" w:rsidR="00CC37EB" w:rsidRDefault="00CC37EB" w:rsidP="007C3DAB">
    <w:pPr>
      <w:pStyle w:val="Footer"/>
      <w:jc w:val="cente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22172">
      <w:rPr>
        <w:caps/>
        <w:noProof/>
        <w:color w:val="4F81BD" w:themeColor="accent1"/>
      </w:rPr>
      <w:t>5</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38FC" w14:textId="77777777" w:rsidR="00937CB6" w:rsidRDefault="00937CB6" w:rsidP="00B1457B">
      <w:pPr>
        <w:spacing w:after="0" w:line="240" w:lineRule="auto"/>
      </w:pPr>
      <w:r>
        <w:separator/>
      </w:r>
    </w:p>
  </w:footnote>
  <w:footnote w:type="continuationSeparator" w:id="0">
    <w:p w14:paraId="723CC06E" w14:textId="77777777" w:rsidR="00937CB6" w:rsidRDefault="00937CB6" w:rsidP="00B14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1F"/>
    <w:multiLevelType w:val="hybridMultilevel"/>
    <w:tmpl w:val="F5C8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9FB"/>
    <w:multiLevelType w:val="hybridMultilevel"/>
    <w:tmpl w:val="1718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67CAF"/>
    <w:multiLevelType w:val="hybridMultilevel"/>
    <w:tmpl w:val="28F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519F7"/>
    <w:multiLevelType w:val="hybridMultilevel"/>
    <w:tmpl w:val="58D4205C"/>
    <w:lvl w:ilvl="0" w:tplc="E83604F4">
      <w:start w:val="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B2D6A"/>
    <w:multiLevelType w:val="hybridMultilevel"/>
    <w:tmpl w:val="EFA0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444E0"/>
    <w:multiLevelType w:val="hybridMultilevel"/>
    <w:tmpl w:val="34E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E6721"/>
    <w:multiLevelType w:val="hybridMultilevel"/>
    <w:tmpl w:val="6696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E144F"/>
    <w:multiLevelType w:val="hybridMultilevel"/>
    <w:tmpl w:val="9040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1303F"/>
    <w:multiLevelType w:val="hybridMultilevel"/>
    <w:tmpl w:val="FDF0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7F7D02"/>
    <w:multiLevelType w:val="hybridMultilevel"/>
    <w:tmpl w:val="35B8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D47A6"/>
    <w:multiLevelType w:val="hybridMultilevel"/>
    <w:tmpl w:val="41DC08EC"/>
    <w:lvl w:ilvl="0" w:tplc="32E000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942596">
    <w:abstractNumId w:val="4"/>
  </w:num>
  <w:num w:numId="2" w16cid:durableId="1201627089">
    <w:abstractNumId w:val="6"/>
  </w:num>
  <w:num w:numId="3" w16cid:durableId="1709918042">
    <w:abstractNumId w:val="2"/>
  </w:num>
  <w:num w:numId="4" w16cid:durableId="2041541121">
    <w:abstractNumId w:val="1"/>
  </w:num>
  <w:num w:numId="5" w16cid:durableId="153881950">
    <w:abstractNumId w:val="3"/>
  </w:num>
  <w:num w:numId="6" w16cid:durableId="888223270">
    <w:abstractNumId w:val="0"/>
  </w:num>
  <w:num w:numId="7" w16cid:durableId="1580482242">
    <w:abstractNumId w:val="5"/>
  </w:num>
  <w:num w:numId="8" w16cid:durableId="116797471">
    <w:abstractNumId w:val="9"/>
  </w:num>
  <w:num w:numId="9" w16cid:durableId="1302617321">
    <w:abstractNumId w:val="10"/>
  </w:num>
  <w:num w:numId="10" w16cid:durableId="1223445093">
    <w:abstractNumId w:val="8"/>
  </w:num>
  <w:num w:numId="11" w16cid:durableId="77097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80"/>
    <w:rsid w:val="00000178"/>
    <w:rsid w:val="00012190"/>
    <w:rsid w:val="00014C9C"/>
    <w:rsid w:val="000172D0"/>
    <w:rsid w:val="0003674A"/>
    <w:rsid w:val="00040E90"/>
    <w:rsid w:val="00075A41"/>
    <w:rsid w:val="000A5F95"/>
    <w:rsid w:val="000A7C2B"/>
    <w:rsid w:val="001222D4"/>
    <w:rsid w:val="0014089A"/>
    <w:rsid w:val="001465C2"/>
    <w:rsid w:val="001D37BA"/>
    <w:rsid w:val="001D73B7"/>
    <w:rsid w:val="001F3080"/>
    <w:rsid w:val="0021660A"/>
    <w:rsid w:val="00230BC3"/>
    <w:rsid w:val="0023382C"/>
    <w:rsid w:val="0024516C"/>
    <w:rsid w:val="00247B3D"/>
    <w:rsid w:val="0028663D"/>
    <w:rsid w:val="00291A38"/>
    <w:rsid w:val="002B102A"/>
    <w:rsid w:val="002B3697"/>
    <w:rsid w:val="002B7046"/>
    <w:rsid w:val="002C1A95"/>
    <w:rsid w:val="002D7021"/>
    <w:rsid w:val="002D71A6"/>
    <w:rsid w:val="00302A04"/>
    <w:rsid w:val="00305CD6"/>
    <w:rsid w:val="00322BFE"/>
    <w:rsid w:val="003612CE"/>
    <w:rsid w:val="00387404"/>
    <w:rsid w:val="00396240"/>
    <w:rsid w:val="00396787"/>
    <w:rsid w:val="003B0FC5"/>
    <w:rsid w:val="003B191D"/>
    <w:rsid w:val="003D4962"/>
    <w:rsid w:val="003D5307"/>
    <w:rsid w:val="003F1223"/>
    <w:rsid w:val="00432236"/>
    <w:rsid w:val="00443182"/>
    <w:rsid w:val="00463C73"/>
    <w:rsid w:val="00480CAC"/>
    <w:rsid w:val="00487C30"/>
    <w:rsid w:val="004A3112"/>
    <w:rsid w:val="004B0EDB"/>
    <w:rsid w:val="004B595F"/>
    <w:rsid w:val="004D6993"/>
    <w:rsid w:val="004F0611"/>
    <w:rsid w:val="004F2479"/>
    <w:rsid w:val="00502CAE"/>
    <w:rsid w:val="00507134"/>
    <w:rsid w:val="00512EB1"/>
    <w:rsid w:val="00543BB6"/>
    <w:rsid w:val="00550BA5"/>
    <w:rsid w:val="005561B5"/>
    <w:rsid w:val="0055646E"/>
    <w:rsid w:val="00560D42"/>
    <w:rsid w:val="00565D01"/>
    <w:rsid w:val="00575FE8"/>
    <w:rsid w:val="00597523"/>
    <w:rsid w:val="005B1C98"/>
    <w:rsid w:val="005B3171"/>
    <w:rsid w:val="005B50F0"/>
    <w:rsid w:val="005B6F55"/>
    <w:rsid w:val="005D7C80"/>
    <w:rsid w:val="005F60FC"/>
    <w:rsid w:val="00602580"/>
    <w:rsid w:val="00620207"/>
    <w:rsid w:val="0062087A"/>
    <w:rsid w:val="006217AB"/>
    <w:rsid w:val="00625F12"/>
    <w:rsid w:val="0063020B"/>
    <w:rsid w:val="006534C6"/>
    <w:rsid w:val="00661123"/>
    <w:rsid w:val="00673BBC"/>
    <w:rsid w:val="00673F2F"/>
    <w:rsid w:val="00676BF0"/>
    <w:rsid w:val="006823EB"/>
    <w:rsid w:val="006839A4"/>
    <w:rsid w:val="006B2347"/>
    <w:rsid w:val="006F68EF"/>
    <w:rsid w:val="00713389"/>
    <w:rsid w:val="00717440"/>
    <w:rsid w:val="00730DCB"/>
    <w:rsid w:val="00741534"/>
    <w:rsid w:val="00747535"/>
    <w:rsid w:val="00752924"/>
    <w:rsid w:val="00763843"/>
    <w:rsid w:val="00774A63"/>
    <w:rsid w:val="007B4E22"/>
    <w:rsid w:val="007B78ED"/>
    <w:rsid w:val="007C02A2"/>
    <w:rsid w:val="007C3DAB"/>
    <w:rsid w:val="007D0C2B"/>
    <w:rsid w:val="007D28BF"/>
    <w:rsid w:val="007D6280"/>
    <w:rsid w:val="007E4790"/>
    <w:rsid w:val="007F35A0"/>
    <w:rsid w:val="008056F5"/>
    <w:rsid w:val="00812CCD"/>
    <w:rsid w:val="008216DB"/>
    <w:rsid w:val="00831294"/>
    <w:rsid w:val="00842A83"/>
    <w:rsid w:val="00883CB3"/>
    <w:rsid w:val="00896D18"/>
    <w:rsid w:val="008D1F5D"/>
    <w:rsid w:val="008D70DB"/>
    <w:rsid w:val="008E7446"/>
    <w:rsid w:val="008F4F7B"/>
    <w:rsid w:val="008F7B55"/>
    <w:rsid w:val="0092601B"/>
    <w:rsid w:val="00934FCA"/>
    <w:rsid w:val="00937CB6"/>
    <w:rsid w:val="00944805"/>
    <w:rsid w:val="009472F6"/>
    <w:rsid w:val="00960C67"/>
    <w:rsid w:val="00990F54"/>
    <w:rsid w:val="009A4E82"/>
    <w:rsid w:val="009A5F7B"/>
    <w:rsid w:val="009B1396"/>
    <w:rsid w:val="009B24C8"/>
    <w:rsid w:val="009C6A1C"/>
    <w:rsid w:val="009D4EE9"/>
    <w:rsid w:val="009E3295"/>
    <w:rsid w:val="009F11CC"/>
    <w:rsid w:val="00A019B9"/>
    <w:rsid w:val="00A0449A"/>
    <w:rsid w:val="00A04CF9"/>
    <w:rsid w:val="00A22172"/>
    <w:rsid w:val="00A45865"/>
    <w:rsid w:val="00A523C4"/>
    <w:rsid w:val="00A57686"/>
    <w:rsid w:val="00A67F62"/>
    <w:rsid w:val="00A809F5"/>
    <w:rsid w:val="00A84D79"/>
    <w:rsid w:val="00AB2CA6"/>
    <w:rsid w:val="00AB4C4B"/>
    <w:rsid w:val="00AD3927"/>
    <w:rsid w:val="00AD4436"/>
    <w:rsid w:val="00B1411D"/>
    <w:rsid w:val="00B1457B"/>
    <w:rsid w:val="00B14E4D"/>
    <w:rsid w:val="00B22A14"/>
    <w:rsid w:val="00B54242"/>
    <w:rsid w:val="00B54657"/>
    <w:rsid w:val="00B600B9"/>
    <w:rsid w:val="00B61FE1"/>
    <w:rsid w:val="00B67022"/>
    <w:rsid w:val="00B855A3"/>
    <w:rsid w:val="00BA160D"/>
    <w:rsid w:val="00BA6B4A"/>
    <w:rsid w:val="00BB356E"/>
    <w:rsid w:val="00BD264C"/>
    <w:rsid w:val="00BD478A"/>
    <w:rsid w:val="00BE0203"/>
    <w:rsid w:val="00BE1E4C"/>
    <w:rsid w:val="00BE2D24"/>
    <w:rsid w:val="00C172C6"/>
    <w:rsid w:val="00C17DAE"/>
    <w:rsid w:val="00C3143A"/>
    <w:rsid w:val="00C32127"/>
    <w:rsid w:val="00C56143"/>
    <w:rsid w:val="00C6357D"/>
    <w:rsid w:val="00C76EF1"/>
    <w:rsid w:val="00C926CF"/>
    <w:rsid w:val="00CA42F4"/>
    <w:rsid w:val="00CB5A70"/>
    <w:rsid w:val="00CB6A7A"/>
    <w:rsid w:val="00CC37EB"/>
    <w:rsid w:val="00CE5DCA"/>
    <w:rsid w:val="00CF3769"/>
    <w:rsid w:val="00CF7782"/>
    <w:rsid w:val="00D24FE3"/>
    <w:rsid w:val="00D32911"/>
    <w:rsid w:val="00D43DC0"/>
    <w:rsid w:val="00D4700D"/>
    <w:rsid w:val="00D47C22"/>
    <w:rsid w:val="00D555EC"/>
    <w:rsid w:val="00D610D0"/>
    <w:rsid w:val="00D655A6"/>
    <w:rsid w:val="00DA4CD9"/>
    <w:rsid w:val="00DB27DB"/>
    <w:rsid w:val="00DB55A3"/>
    <w:rsid w:val="00DB76DE"/>
    <w:rsid w:val="00DD7B04"/>
    <w:rsid w:val="00DE46E7"/>
    <w:rsid w:val="00DF3120"/>
    <w:rsid w:val="00E01E59"/>
    <w:rsid w:val="00E020E1"/>
    <w:rsid w:val="00E3218A"/>
    <w:rsid w:val="00E41DC6"/>
    <w:rsid w:val="00E55112"/>
    <w:rsid w:val="00E949B6"/>
    <w:rsid w:val="00EA12CE"/>
    <w:rsid w:val="00EC1CC9"/>
    <w:rsid w:val="00EC2228"/>
    <w:rsid w:val="00EC3833"/>
    <w:rsid w:val="00EC7BE9"/>
    <w:rsid w:val="00ED1940"/>
    <w:rsid w:val="00ED3004"/>
    <w:rsid w:val="00EE2617"/>
    <w:rsid w:val="00EE6DD2"/>
    <w:rsid w:val="00F059F0"/>
    <w:rsid w:val="00F273E1"/>
    <w:rsid w:val="00F30751"/>
    <w:rsid w:val="00F32625"/>
    <w:rsid w:val="00F54A64"/>
    <w:rsid w:val="00F7002D"/>
    <w:rsid w:val="00F94EE4"/>
    <w:rsid w:val="00FB1656"/>
    <w:rsid w:val="00FB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802"/>
  <w15:docId w15:val="{0E0B7194-BF12-4E36-8824-BA85C20A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28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F6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FC"/>
    <w:rPr>
      <w:rFonts w:ascii="Segoe UI" w:hAnsi="Segoe UI" w:cs="Segoe UI"/>
      <w:sz w:val="18"/>
      <w:szCs w:val="18"/>
    </w:rPr>
  </w:style>
  <w:style w:type="paragraph" w:styleId="ListParagraph">
    <w:name w:val="List Paragraph"/>
    <w:basedOn w:val="Normal"/>
    <w:uiPriority w:val="34"/>
    <w:qFormat/>
    <w:rsid w:val="00012190"/>
    <w:pPr>
      <w:ind w:left="720"/>
      <w:contextualSpacing/>
    </w:pPr>
  </w:style>
  <w:style w:type="paragraph" w:styleId="Header">
    <w:name w:val="header"/>
    <w:basedOn w:val="Normal"/>
    <w:link w:val="HeaderChar"/>
    <w:uiPriority w:val="99"/>
    <w:unhideWhenUsed/>
    <w:rsid w:val="00B14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57B"/>
  </w:style>
  <w:style w:type="paragraph" w:styleId="Footer">
    <w:name w:val="footer"/>
    <w:basedOn w:val="Normal"/>
    <w:link w:val="FooterChar"/>
    <w:uiPriority w:val="99"/>
    <w:unhideWhenUsed/>
    <w:rsid w:val="00B14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57B"/>
  </w:style>
  <w:style w:type="paragraph" w:styleId="Revision">
    <w:name w:val="Revision"/>
    <w:hidden/>
    <w:uiPriority w:val="99"/>
    <w:semiHidden/>
    <w:rsid w:val="00BB356E"/>
    <w:pPr>
      <w:spacing w:after="0" w:line="240" w:lineRule="auto"/>
    </w:pPr>
  </w:style>
  <w:style w:type="character" w:styleId="CommentReference">
    <w:name w:val="annotation reference"/>
    <w:basedOn w:val="DefaultParagraphFont"/>
    <w:uiPriority w:val="99"/>
    <w:semiHidden/>
    <w:unhideWhenUsed/>
    <w:rsid w:val="00D24FE3"/>
    <w:rPr>
      <w:sz w:val="16"/>
      <w:szCs w:val="16"/>
    </w:rPr>
  </w:style>
  <w:style w:type="paragraph" w:styleId="CommentText">
    <w:name w:val="annotation text"/>
    <w:basedOn w:val="Normal"/>
    <w:link w:val="CommentTextChar"/>
    <w:uiPriority w:val="99"/>
    <w:semiHidden/>
    <w:unhideWhenUsed/>
    <w:rsid w:val="00D24FE3"/>
    <w:pPr>
      <w:spacing w:line="240" w:lineRule="auto"/>
    </w:pPr>
    <w:rPr>
      <w:sz w:val="20"/>
      <w:szCs w:val="20"/>
    </w:rPr>
  </w:style>
  <w:style w:type="character" w:customStyle="1" w:styleId="CommentTextChar">
    <w:name w:val="Comment Text Char"/>
    <w:basedOn w:val="DefaultParagraphFont"/>
    <w:link w:val="CommentText"/>
    <w:uiPriority w:val="99"/>
    <w:semiHidden/>
    <w:rsid w:val="00D24FE3"/>
    <w:rPr>
      <w:sz w:val="20"/>
      <w:szCs w:val="20"/>
    </w:rPr>
  </w:style>
  <w:style w:type="paragraph" w:styleId="CommentSubject">
    <w:name w:val="annotation subject"/>
    <w:basedOn w:val="CommentText"/>
    <w:next w:val="CommentText"/>
    <w:link w:val="CommentSubjectChar"/>
    <w:uiPriority w:val="99"/>
    <w:semiHidden/>
    <w:unhideWhenUsed/>
    <w:rsid w:val="00D24FE3"/>
    <w:rPr>
      <w:b/>
      <w:bCs/>
    </w:rPr>
  </w:style>
  <w:style w:type="character" w:customStyle="1" w:styleId="CommentSubjectChar">
    <w:name w:val="Comment Subject Char"/>
    <w:basedOn w:val="CommentTextChar"/>
    <w:link w:val="CommentSubject"/>
    <w:uiPriority w:val="99"/>
    <w:semiHidden/>
    <w:rsid w:val="00D24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986">
      <w:bodyDiv w:val="1"/>
      <w:marLeft w:val="0"/>
      <w:marRight w:val="0"/>
      <w:marTop w:val="0"/>
      <w:marBottom w:val="0"/>
      <w:divBdr>
        <w:top w:val="none" w:sz="0" w:space="0" w:color="auto"/>
        <w:left w:val="none" w:sz="0" w:space="0" w:color="auto"/>
        <w:bottom w:val="none" w:sz="0" w:space="0" w:color="auto"/>
        <w:right w:val="none" w:sz="0" w:space="0" w:color="auto"/>
      </w:divBdr>
    </w:div>
    <w:div w:id="134640068">
      <w:bodyDiv w:val="1"/>
      <w:marLeft w:val="0"/>
      <w:marRight w:val="0"/>
      <w:marTop w:val="0"/>
      <w:marBottom w:val="0"/>
      <w:divBdr>
        <w:top w:val="none" w:sz="0" w:space="0" w:color="auto"/>
        <w:left w:val="none" w:sz="0" w:space="0" w:color="auto"/>
        <w:bottom w:val="none" w:sz="0" w:space="0" w:color="auto"/>
        <w:right w:val="none" w:sz="0" w:space="0" w:color="auto"/>
      </w:divBdr>
    </w:div>
    <w:div w:id="146828855">
      <w:bodyDiv w:val="1"/>
      <w:marLeft w:val="0"/>
      <w:marRight w:val="0"/>
      <w:marTop w:val="0"/>
      <w:marBottom w:val="0"/>
      <w:divBdr>
        <w:top w:val="none" w:sz="0" w:space="0" w:color="auto"/>
        <w:left w:val="none" w:sz="0" w:space="0" w:color="auto"/>
        <w:bottom w:val="none" w:sz="0" w:space="0" w:color="auto"/>
        <w:right w:val="none" w:sz="0" w:space="0" w:color="auto"/>
      </w:divBdr>
    </w:div>
    <w:div w:id="231355102">
      <w:bodyDiv w:val="1"/>
      <w:marLeft w:val="0"/>
      <w:marRight w:val="0"/>
      <w:marTop w:val="0"/>
      <w:marBottom w:val="0"/>
      <w:divBdr>
        <w:top w:val="none" w:sz="0" w:space="0" w:color="auto"/>
        <w:left w:val="none" w:sz="0" w:space="0" w:color="auto"/>
        <w:bottom w:val="none" w:sz="0" w:space="0" w:color="auto"/>
        <w:right w:val="none" w:sz="0" w:space="0" w:color="auto"/>
      </w:divBdr>
    </w:div>
    <w:div w:id="265431882">
      <w:bodyDiv w:val="1"/>
      <w:marLeft w:val="0"/>
      <w:marRight w:val="0"/>
      <w:marTop w:val="0"/>
      <w:marBottom w:val="0"/>
      <w:divBdr>
        <w:top w:val="none" w:sz="0" w:space="0" w:color="auto"/>
        <w:left w:val="none" w:sz="0" w:space="0" w:color="auto"/>
        <w:bottom w:val="none" w:sz="0" w:space="0" w:color="auto"/>
        <w:right w:val="none" w:sz="0" w:space="0" w:color="auto"/>
      </w:divBdr>
    </w:div>
    <w:div w:id="278536069">
      <w:bodyDiv w:val="1"/>
      <w:marLeft w:val="0"/>
      <w:marRight w:val="0"/>
      <w:marTop w:val="0"/>
      <w:marBottom w:val="0"/>
      <w:divBdr>
        <w:top w:val="none" w:sz="0" w:space="0" w:color="auto"/>
        <w:left w:val="none" w:sz="0" w:space="0" w:color="auto"/>
        <w:bottom w:val="none" w:sz="0" w:space="0" w:color="auto"/>
        <w:right w:val="none" w:sz="0" w:space="0" w:color="auto"/>
      </w:divBdr>
    </w:div>
    <w:div w:id="301473127">
      <w:bodyDiv w:val="1"/>
      <w:marLeft w:val="0"/>
      <w:marRight w:val="0"/>
      <w:marTop w:val="0"/>
      <w:marBottom w:val="0"/>
      <w:divBdr>
        <w:top w:val="none" w:sz="0" w:space="0" w:color="auto"/>
        <w:left w:val="none" w:sz="0" w:space="0" w:color="auto"/>
        <w:bottom w:val="none" w:sz="0" w:space="0" w:color="auto"/>
        <w:right w:val="none" w:sz="0" w:space="0" w:color="auto"/>
      </w:divBdr>
    </w:div>
    <w:div w:id="302538574">
      <w:bodyDiv w:val="1"/>
      <w:marLeft w:val="0"/>
      <w:marRight w:val="0"/>
      <w:marTop w:val="0"/>
      <w:marBottom w:val="0"/>
      <w:divBdr>
        <w:top w:val="none" w:sz="0" w:space="0" w:color="auto"/>
        <w:left w:val="none" w:sz="0" w:space="0" w:color="auto"/>
        <w:bottom w:val="none" w:sz="0" w:space="0" w:color="auto"/>
        <w:right w:val="none" w:sz="0" w:space="0" w:color="auto"/>
      </w:divBdr>
    </w:div>
    <w:div w:id="454448354">
      <w:bodyDiv w:val="1"/>
      <w:marLeft w:val="0"/>
      <w:marRight w:val="0"/>
      <w:marTop w:val="0"/>
      <w:marBottom w:val="0"/>
      <w:divBdr>
        <w:top w:val="none" w:sz="0" w:space="0" w:color="auto"/>
        <w:left w:val="none" w:sz="0" w:space="0" w:color="auto"/>
        <w:bottom w:val="none" w:sz="0" w:space="0" w:color="auto"/>
        <w:right w:val="none" w:sz="0" w:space="0" w:color="auto"/>
      </w:divBdr>
    </w:div>
    <w:div w:id="456603329">
      <w:bodyDiv w:val="1"/>
      <w:marLeft w:val="0"/>
      <w:marRight w:val="0"/>
      <w:marTop w:val="0"/>
      <w:marBottom w:val="0"/>
      <w:divBdr>
        <w:top w:val="none" w:sz="0" w:space="0" w:color="auto"/>
        <w:left w:val="none" w:sz="0" w:space="0" w:color="auto"/>
        <w:bottom w:val="none" w:sz="0" w:space="0" w:color="auto"/>
        <w:right w:val="none" w:sz="0" w:space="0" w:color="auto"/>
      </w:divBdr>
    </w:div>
    <w:div w:id="506361419">
      <w:bodyDiv w:val="1"/>
      <w:marLeft w:val="0"/>
      <w:marRight w:val="0"/>
      <w:marTop w:val="0"/>
      <w:marBottom w:val="0"/>
      <w:divBdr>
        <w:top w:val="none" w:sz="0" w:space="0" w:color="auto"/>
        <w:left w:val="none" w:sz="0" w:space="0" w:color="auto"/>
        <w:bottom w:val="none" w:sz="0" w:space="0" w:color="auto"/>
        <w:right w:val="none" w:sz="0" w:space="0" w:color="auto"/>
      </w:divBdr>
    </w:div>
    <w:div w:id="510224394">
      <w:bodyDiv w:val="1"/>
      <w:marLeft w:val="0"/>
      <w:marRight w:val="0"/>
      <w:marTop w:val="0"/>
      <w:marBottom w:val="0"/>
      <w:divBdr>
        <w:top w:val="none" w:sz="0" w:space="0" w:color="auto"/>
        <w:left w:val="none" w:sz="0" w:space="0" w:color="auto"/>
        <w:bottom w:val="none" w:sz="0" w:space="0" w:color="auto"/>
        <w:right w:val="none" w:sz="0" w:space="0" w:color="auto"/>
      </w:divBdr>
    </w:div>
    <w:div w:id="541594386">
      <w:bodyDiv w:val="1"/>
      <w:marLeft w:val="0"/>
      <w:marRight w:val="0"/>
      <w:marTop w:val="0"/>
      <w:marBottom w:val="0"/>
      <w:divBdr>
        <w:top w:val="none" w:sz="0" w:space="0" w:color="auto"/>
        <w:left w:val="none" w:sz="0" w:space="0" w:color="auto"/>
        <w:bottom w:val="none" w:sz="0" w:space="0" w:color="auto"/>
        <w:right w:val="none" w:sz="0" w:space="0" w:color="auto"/>
      </w:divBdr>
    </w:div>
    <w:div w:id="555893401">
      <w:bodyDiv w:val="1"/>
      <w:marLeft w:val="0"/>
      <w:marRight w:val="0"/>
      <w:marTop w:val="0"/>
      <w:marBottom w:val="0"/>
      <w:divBdr>
        <w:top w:val="none" w:sz="0" w:space="0" w:color="auto"/>
        <w:left w:val="none" w:sz="0" w:space="0" w:color="auto"/>
        <w:bottom w:val="none" w:sz="0" w:space="0" w:color="auto"/>
        <w:right w:val="none" w:sz="0" w:space="0" w:color="auto"/>
      </w:divBdr>
    </w:div>
    <w:div w:id="610744892">
      <w:bodyDiv w:val="1"/>
      <w:marLeft w:val="0"/>
      <w:marRight w:val="0"/>
      <w:marTop w:val="0"/>
      <w:marBottom w:val="0"/>
      <w:divBdr>
        <w:top w:val="none" w:sz="0" w:space="0" w:color="auto"/>
        <w:left w:val="none" w:sz="0" w:space="0" w:color="auto"/>
        <w:bottom w:val="none" w:sz="0" w:space="0" w:color="auto"/>
        <w:right w:val="none" w:sz="0" w:space="0" w:color="auto"/>
      </w:divBdr>
    </w:div>
    <w:div w:id="677118120">
      <w:bodyDiv w:val="1"/>
      <w:marLeft w:val="0"/>
      <w:marRight w:val="0"/>
      <w:marTop w:val="0"/>
      <w:marBottom w:val="0"/>
      <w:divBdr>
        <w:top w:val="none" w:sz="0" w:space="0" w:color="auto"/>
        <w:left w:val="none" w:sz="0" w:space="0" w:color="auto"/>
        <w:bottom w:val="none" w:sz="0" w:space="0" w:color="auto"/>
        <w:right w:val="none" w:sz="0" w:space="0" w:color="auto"/>
      </w:divBdr>
    </w:div>
    <w:div w:id="684477386">
      <w:bodyDiv w:val="1"/>
      <w:marLeft w:val="0"/>
      <w:marRight w:val="0"/>
      <w:marTop w:val="0"/>
      <w:marBottom w:val="0"/>
      <w:divBdr>
        <w:top w:val="none" w:sz="0" w:space="0" w:color="auto"/>
        <w:left w:val="none" w:sz="0" w:space="0" w:color="auto"/>
        <w:bottom w:val="none" w:sz="0" w:space="0" w:color="auto"/>
        <w:right w:val="none" w:sz="0" w:space="0" w:color="auto"/>
      </w:divBdr>
    </w:div>
    <w:div w:id="684862954">
      <w:bodyDiv w:val="1"/>
      <w:marLeft w:val="0"/>
      <w:marRight w:val="0"/>
      <w:marTop w:val="0"/>
      <w:marBottom w:val="0"/>
      <w:divBdr>
        <w:top w:val="none" w:sz="0" w:space="0" w:color="auto"/>
        <w:left w:val="none" w:sz="0" w:space="0" w:color="auto"/>
        <w:bottom w:val="none" w:sz="0" w:space="0" w:color="auto"/>
        <w:right w:val="none" w:sz="0" w:space="0" w:color="auto"/>
      </w:divBdr>
    </w:div>
    <w:div w:id="710809369">
      <w:bodyDiv w:val="1"/>
      <w:marLeft w:val="0"/>
      <w:marRight w:val="0"/>
      <w:marTop w:val="0"/>
      <w:marBottom w:val="0"/>
      <w:divBdr>
        <w:top w:val="none" w:sz="0" w:space="0" w:color="auto"/>
        <w:left w:val="none" w:sz="0" w:space="0" w:color="auto"/>
        <w:bottom w:val="none" w:sz="0" w:space="0" w:color="auto"/>
        <w:right w:val="none" w:sz="0" w:space="0" w:color="auto"/>
      </w:divBdr>
    </w:div>
    <w:div w:id="744181109">
      <w:bodyDiv w:val="1"/>
      <w:marLeft w:val="0"/>
      <w:marRight w:val="0"/>
      <w:marTop w:val="0"/>
      <w:marBottom w:val="0"/>
      <w:divBdr>
        <w:top w:val="none" w:sz="0" w:space="0" w:color="auto"/>
        <w:left w:val="none" w:sz="0" w:space="0" w:color="auto"/>
        <w:bottom w:val="none" w:sz="0" w:space="0" w:color="auto"/>
        <w:right w:val="none" w:sz="0" w:space="0" w:color="auto"/>
      </w:divBdr>
    </w:div>
    <w:div w:id="755904953">
      <w:bodyDiv w:val="1"/>
      <w:marLeft w:val="0"/>
      <w:marRight w:val="0"/>
      <w:marTop w:val="0"/>
      <w:marBottom w:val="0"/>
      <w:divBdr>
        <w:top w:val="none" w:sz="0" w:space="0" w:color="auto"/>
        <w:left w:val="none" w:sz="0" w:space="0" w:color="auto"/>
        <w:bottom w:val="none" w:sz="0" w:space="0" w:color="auto"/>
        <w:right w:val="none" w:sz="0" w:space="0" w:color="auto"/>
      </w:divBdr>
    </w:div>
    <w:div w:id="773944673">
      <w:bodyDiv w:val="1"/>
      <w:marLeft w:val="0"/>
      <w:marRight w:val="0"/>
      <w:marTop w:val="0"/>
      <w:marBottom w:val="0"/>
      <w:divBdr>
        <w:top w:val="none" w:sz="0" w:space="0" w:color="auto"/>
        <w:left w:val="none" w:sz="0" w:space="0" w:color="auto"/>
        <w:bottom w:val="none" w:sz="0" w:space="0" w:color="auto"/>
        <w:right w:val="none" w:sz="0" w:space="0" w:color="auto"/>
      </w:divBdr>
    </w:div>
    <w:div w:id="783578009">
      <w:bodyDiv w:val="1"/>
      <w:marLeft w:val="0"/>
      <w:marRight w:val="0"/>
      <w:marTop w:val="0"/>
      <w:marBottom w:val="0"/>
      <w:divBdr>
        <w:top w:val="none" w:sz="0" w:space="0" w:color="auto"/>
        <w:left w:val="none" w:sz="0" w:space="0" w:color="auto"/>
        <w:bottom w:val="none" w:sz="0" w:space="0" w:color="auto"/>
        <w:right w:val="none" w:sz="0" w:space="0" w:color="auto"/>
      </w:divBdr>
    </w:div>
    <w:div w:id="833884855">
      <w:bodyDiv w:val="1"/>
      <w:marLeft w:val="0"/>
      <w:marRight w:val="0"/>
      <w:marTop w:val="0"/>
      <w:marBottom w:val="0"/>
      <w:divBdr>
        <w:top w:val="none" w:sz="0" w:space="0" w:color="auto"/>
        <w:left w:val="none" w:sz="0" w:space="0" w:color="auto"/>
        <w:bottom w:val="none" w:sz="0" w:space="0" w:color="auto"/>
        <w:right w:val="none" w:sz="0" w:space="0" w:color="auto"/>
      </w:divBdr>
    </w:div>
    <w:div w:id="859785188">
      <w:bodyDiv w:val="1"/>
      <w:marLeft w:val="0"/>
      <w:marRight w:val="0"/>
      <w:marTop w:val="0"/>
      <w:marBottom w:val="0"/>
      <w:divBdr>
        <w:top w:val="none" w:sz="0" w:space="0" w:color="auto"/>
        <w:left w:val="none" w:sz="0" w:space="0" w:color="auto"/>
        <w:bottom w:val="none" w:sz="0" w:space="0" w:color="auto"/>
        <w:right w:val="none" w:sz="0" w:space="0" w:color="auto"/>
      </w:divBdr>
    </w:div>
    <w:div w:id="878586880">
      <w:bodyDiv w:val="1"/>
      <w:marLeft w:val="0"/>
      <w:marRight w:val="0"/>
      <w:marTop w:val="0"/>
      <w:marBottom w:val="0"/>
      <w:divBdr>
        <w:top w:val="none" w:sz="0" w:space="0" w:color="auto"/>
        <w:left w:val="none" w:sz="0" w:space="0" w:color="auto"/>
        <w:bottom w:val="none" w:sz="0" w:space="0" w:color="auto"/>
        <w:right w:val="none" w:sz="0" w:space="0" w:color="auto"/>
      </w:divBdr>
    </w:div>
    <w:div w:id="882712101">
      <w:bodyDiv w:val="1"/>
      <w:marLeft w:val="0"/>
      <w:marRight w:val="0"/>
      <w:marTop w:val="0"/>
      <w:marBottom w:val="0"/>
      <w:divBdr>
        <w:top w:val="none" w:sz="0" w:space="0" w:color="auto"/>
        <w:left w:val="none" w:sz="0" w:space="0" w:color="auto"/>
        <w:bottom w:val="none" w:sz="0" w:space="0" w:color="auto"/>
        <w:right w:val="none" w:sz="0" w:space="0" w:color="auto"/>
      </w:divBdr>
    </w:div>
    <w:div w:id="904948334">
      <w:bodyDiv w:val="1"/>
      <w:marLeft w:val="0"/>
      <w:marRight w:val="0"/>
      <w:marTop w:val="0"/>
      <w:marBottom w:val="0"/>
      <w:divBdr>
        <w:top w:val="none" w:sz="0" w:space="0" w:color="auto"/>
        <w:left w:val="none" w:sz="0" w:space="0" w:color="auto"/>
        <w:bottom w:val="none" w:sz="0" w:space="0" w:color="auto"/>
        <w:right w:val="none" w:sz="0" w:space="0" w:color="auto"/>
      </w:divBdr>
    </w:div>
    <w:div w:id="908274094">
      <w:bodyDiv w:val="1"/>
      <w:marLeft w:val="0"/>
      <w:marRight w:val="0"/>
      <w:marTop w:val="0"/>
      <w:marBottom w:val="0"/>
      <w:divBdr>
        <w:top w:val="none" w:sz="0" w:space="0" w:color="auto"/>
        <w:left w:val="none" w:sz="0" w:space="0" w:color="auto"/>
        <w:bottom w:val="none" w:sz="0" w:space="0" w:color="auto"/>
        <w:right w:val="none" w:sz="0" w:space="0" w:color="auto"/>
      </w:divBdr>
    </w:div>
    <w:div w:id="909850960">
      <w:bodyDiv w:val="1"/>
      <w:marLeft w:val="0"/>
      <w:marRight w:val="0"/>
      <w:marTop w:val="0"/>
      <w:marBottom w:val="0"/>
      <w:divBdr>
        <w:top w:val="none" w:sz="0" w:space="0" w:color="auto"/>
        <w:left w:val="none" w:sz="0" w:space="0" w:color="auto"/>
        <w:bottom w:val="none" w:sz="0" w:space="0" w:color="auto"/>
        <w:right w:val="none" w:sz="0" w:space="0" w:color="auto"/>
      </w:divBdr>
    </w:div>
    <w:div w:id="911891175">
      <w:bodyDiv w:val="1"/>
      <w:marLeft w:val="0"/>
      <w:marRight w:val="0"/>
      <w:marTop w:val="0"/>
      <w:marBottom w:val="0"/>
      <w:divBdr>
        <w:top w:val="none" w:sz="0" w:space="0" w:color="auto"/>
        <w:left w:val="none" w:sz="0" w:space="0" w:color="auto"/>
        <w:bottom w:val="none" w:sz="0" w:space="0" w:color="auto"/>
        <w:right w:val="none" w:sz="0" w:space="0" w:color="auto"/>
      </w:divBdr>
    </w:div>
    <w:div w:id="921571243">
      <w:bodyDiv w:val="1"/>
      <w:marLeft w:val="0"/>
      <w:marRight w:val="0"/>
      <w:marTop w:val="0"/>
      <w:marBottom w:val="0"/>
      <w:divBdr>
        <w:top w:val="none" w:sz="0" w:space="0" w:color="auto"/>
        <w:left w:val="none" w:sz="0" w:space="0" w:color="auto"/>
        <w:bottom w:val="none" w:sz="0" w:space="0" w:color="auto"/>
        <w:right w:val="none" w:sz="0" w:space="0" w:color="auto"/>
      </w:divBdr>
    </w:div>
    <w:div w:id="968320442">
      <w:bodyDiv w:val="1"/>
      <w:marLeft w:val="0"/>
      <w:marRight w:val="0"/>
      <w:marTop w:val="0"/>
      <w:marBottom w:val="0"/>
      <w:divBdr>
        <w:top w:val="none" w:sz="0" w:space="0" w:color="auto"/>
        <w:left w:val="none" w:sz="0" w:space="0" w:color="auto"/>
        <w:bottom w:val="none" w:sz="0" w:space="0" w:color="auto"/>
        <w:right w:val="none" w:sz="0" w:space="0" w:color="auto"/>
      </w:divBdr>
    </w:div>
    <w:div w:id="1013339567">
      <w:bodyDiv w:val="1"/>
      <w:marLeft w:val="0"/>
      <w:marRight w:val="0"/>
      <w:marTop w:val="0"/>
      <w:marBottom w:val="0"/>
      <w:divBdr>
        <w:top w:val="none" w:sz="0" w:space="0" w:color="auto"/>
        <w:left w:val="none" w:sz="0" w:space="0" w:color="auto"/>
        <w:bottom w:val="none" w:sz="0" w:space="0" w:color="auto"/>
        <w:right w:val="none" w:sz="0" w:space="0" w:color="auto"/>
      </w:divBdr>
    </w:div>
    <w:div w:id="1061295737">
      <w:bodyDiv w:val="1"/>
      <w:marLeft w:val="0"/>
      <w:marRight w:val="0"/>
      <w:marTop w:val="0"/>
      <w:marBottom w:val="0"/>
      <w:divBdr>
        <w:top w:val="none" w:sz="0" w:space="0" w:color="auto"/>
        <w:left w:val="none" w:sz="0" w:space="0" w:color="auto"/>
        <w:bottom w:val="none" w:sz="0" w:space="0" w:color="auto"/>
        <w:right w:val="none" w:sz="0" w:space="0" w:color="auto"/>
      </w:divBdr>
    </w:div>
    <w:div w:id="1080444201">
      <w:bodyDiv w:val="1"/>
      <w:marLeft w:val="0"/>
      <w:marRight w:val="0"/>
      <w:marTop w:val="0"/>
      <w:marBottom w:val="0"/>
      <w:divBdr>
        <w:top w:val="none" w:sz="0" w:space="0" w:color="auto"/>
        <w:left w:val="none" w:sz="0" w:space="0" w:color="auto"/>
        <w:bottom w:val="none" w:sz="0" w:space="0" w:color="auto"/>
        <w:right w:val="none" w:sz="0" w:space="0" w:color="auto"/>
      </w:divBdr>
    </w:div>
    <w:div w:id="1126655666">
      <w:bodyDiv w:val="1"/>
      <w:marLeft w:val="0"/>
      <w:marRight w:val="0"/>
      <w:marTop w:val="0"/>
      <w:marBottom w:val="0"/>
      <w:divBdr>
        <w:top w:val="none" w:sz="0" w:space="0" w:color="auto"/>
        <w:left w:val="none" w:sz="0" w:space="0" w:color="auto"/>
        <w:bottom w:val="none" w:sz="0" w:space="0" w:color="auto"/>
        <w:right w:val="none" w:sz="0" w:space="0" w:color="auto"/>
      </w:divBdr>
    </w:div>
    <w:div w:id="1156144903">
      <w:bodyDiv w:val="1"/>
      <w:marLeft w:val="0"/>
      <w:marRight w:val="0"/>
      <w:marTop w:val="0"/>
      <w:marBottom w:val="0"/>
      <w:divBdr>
        <w:top w:val="none" w:sz="0" w:space="0" w:color="auto"/>
        <w:left w:val="none" w:sz="0" w:space="0" w:color="auto"/>
        <w:bottom w:val="none" w:sz="0" w:space="0" w:color="auto"/>
        <w:right w:val="none" w:sz="0" w:space="0" w:color="auto"/>
      </w:divBdr>
    </w:div>
    <w:div w:id="1191532380">
      <w:bodyDiv w:val="1"/>
      <w:marLeft w:val="0"/>
      <w:marRight w:val="0"/>
      <w:marTop w:val="0"/>
      <w:marBottom w:val="0"/>
      <w:divBdr>
        <w:top w:val="none" w:sz="0" w:space="0" w:color="auto"/>
        <w:left w:val="none" w:sz="0" w:space="0" w:color="auto"/>
        <w:bottom w:val="none" w:sz="0" w:space="0" w:color="auto"/>
        <w:right w:val="none" w:sz="0" w:space="0" w:color="auto"/>
      </w:divBdr>
    </w:div>
    <w:div w:id="1219821859">
      <w:bodyDiv w:val="1"/>
      <w:marLeft w:val="0"/>
      <w:marRight w:val="0"/>
      <w:marTop w:val="0"/>
      <w:marBottom w:val="0"/>
      <w:divBdr>
        <w:top w:val="none" w:sz="0" w:space="0" w:color="auto"/>
        <w:left w:val="none" w:sz="0" w:space="0" w:color="auto"/>
        <w:bottom w:val="none" w:sz="0" w:space="0" w:color="auto"/>
        <w:right w:val="none" w:sz="0" w:space="0" w:color="auto"/>
      </w:divBdr>
    </w:div>
    <w:div w:id="1228691208">
      <w:bodyDiv w:val="1"/>
      <w:marLeft w:val="0"/>
      <w:marRight w:val="0"/>
      <w:marTop w:val="0"/>
      <w:marBottom w:val="0"/>
      <w:divBdr>
        <w:top w:val="none" w:sz="0" w:space="0" w:color="auto"/>
        <w:left w:val="none" w:sz="0" w:space="0" w:color="auto"/>
        <w:bottom w:val="none" w:sz="0" w:space="0" w:color="auto"/>
        <w:right w:val="none" w:sz="0" w:space="0" w:color="auto"/>
      </w:divBdr>
    </w:div>
    <w:div w:id="1321928755">
      <w:bodyDiv w:val="1"/>
      <w:marLeft w:val="0"/>
      <w:marRight w:val="0"/>
      <w:marTop w:val="0"/>
      <w:marBottom w:val="0"/>
      <w:divBdr>
        <w:top w:val="none" w:sz="0" w:space="0" w:color="auto"/>
        <w:left w:val="none" w:sz="0" w:space="0" w:color="auto"/>
        <w:bottom w:val="none" w:sz="0" w:space="0" w:color="auto"/>
        <w:right w:val="none" w:sz="0" w:space="0" w:color="auto"/>
      </w:divBdr>
    </w:div>
    <w:div w:id="1332559376">
      <w:bodyDiv w:val="1"/>
      <w:marLeft w:val="0"/>
      <w:marRight w:val="0"/>
      <w:marTop w:val="0"/>
      <w:marBottom w:val="0"/>
      <w:divBdr>
        <w:top w:val="none" w:sz="0" w:space="0" w:color="auto"/>
        <w:left w:val="none" w:sz="0" w:space="0" w:color="auto"/>
        <w:bottom w:val="none" w:sz="0" w:space="0" w:color="auto"/>
        <w:right w:val="none" w:sz="0" w:space="0" w:color="auto"/>
      </w:divBdr>
    </w:div>
    <w:div w:id="1374385277">
      <w:bodyDiv w:val="1"/>
      <w:marLeft w:val="0"/>
      <w:marRight w:val="0"/>
      <w:marTop w:val="0"/>
      <w:marBottom w:val="0"/>
      <w:divBdr>
        <w:top w:val="none" w:sz="0" w:space="0" w:color="auto"/>
        <w:left w:val="none" w:sz="0" w:space="0" w:color="auto"/>
        <w:bottom w:val="none" w:sz="0" w:space="0" w:color="auto"/>
        <w:right w:val="none" w:sz="0" w:space="0" w:color="auto"/>
      </w:divBdr>
    </w:div>
    <w:div w:id="1385442882">
      <w:bodyDiv w:val="1"/>
      <w:marLeft w:val="0"/>
      <w:marRight w:val="0"/>
      <w:marTop w:val="0"/>
      <w:marBottom w:val="0"/>
      <w:divBdr>
        <w:top w:val="none" w:sz="0" w:space="0" w:color="auto"/>
        <w:left w:val="none" w:sz="0" w:space="0" w:color="auto"/>
        <w:bottom w:val="none" w:sz="0" w:space="0" w:color="auto"/>
        <w:right w:val="none" w:sz="0" w:space="0" w:color="auto"/>
      </w:divBdr>
    </w:div>
    <w:div w:id="1412654143">
      <w:bodyDiv w:val="1"/>
      <w:marLeft w:val="0"/>
      <w:marRight w:val="0"/>
      <w:marTop w:val="0"/>
      <w:marBottom w:val="0"/>
      <w:divBdr>
        <w:top w:val="none" w:sz="0" w:space="0" w:color="auto"/>
        <w:left w:val="none" w:sz="0" w:space="0" w:color="auto"/>
        <w:bottom w:val="none" w:sz="0" w:space="0" w:color="auto"/>
        <w:right w:val="none" w:sz="0" w:space="0" w:color="auto"/>
      </w:divBdr>
    </w:div>
    <w:div w:id="1413627843">
      <w:bodyDiv w:val="1"/>
      <w:marLeft w:val="0"/>
      <w:marRight w:val="0"/>
      <w:marTop w:val="0"/>
      <w:marBottom w:val="0"/>
      <w:divBdr>
        <w:top w:val="none" w:sz="0" w:space="0" w:color="auto"/>
        <w:left w:val="none" w:sz="0" w:space="0" w:color="auto"/>
        <w:bottom w:val="none" w:sz="0" w:space="0" w:color="auto"/>
        <w:right w:val="none" w:sz="0" w:space="0" w:color="auto"/>
      </w:divBdr>
    </w:div>
    <w:div w:id="1425493967">
      <w:bodyDiv w:val="1"/>
      <w:marLeft w:val="0"/>
      <w:marRight w:val="0"/>
      <w:marTop w:val="0"/>
      <w:marBottom w:val="0"/>
      <w:divBdr>
        <w:top w:val="none" w:sz="0" w:space="0" w:color="auto"/>
        <w:left w:val="none" w:sz="0" w:space="0" w:color="auto"/>
        <w:bottom w:val="none" w:sz="0" w:space="0" w:color="auto"/>
        <w:right w:val="none" w:sz="0" w:space="0" w:color="auto"/>
      </w:divBdr>
    </w:div>
    <w:div w:id="1433278388">
      <w:bodyDiv w:val="1"/>
      <w:marLeft w:val="0"/>
      <w:marRight w:val="0"/>
      <w:marTop w:val="0"/>
      <w:marBottom w:val="0"/>
      <w:divBdr>
        <w:top w:val="none" w:sz="0" w:space="0" w:color="auto"/>
        <w:left w:val="none" w:sz="0" w:space="0" w:color="auto"/>
        <w:bottom w:val="none" w:sz="0" w:space="0" w:color="auto"/>
        <w:right w:val="none" w:sz="0" w:space="0" w:color="auto"/>
      </w:divBdr>
    </w:div>
    <w:div w:id="1437675307">
      <w:bodyDiv w:val="1"/>
      <w:marLeft w:val="0"/>
      <w:marRight w:val="0"/>
      <w:marTop w:val="0"/>
      <w:marBottom w:val="0"/>
      <w:divBdr>
        <w:top w:val="none" w:sz="0" w:space="0" w:color="auto"/>
        <w:left w:val="none" w:sz="0" w:space="0" w:color="auto"/>
        <w:bottom w:val="none" w:sz="0" w:space="0" w:color="auto"/>
        <w:right w:val="none" w:sz="0" w:space="0" w:color="auto"/>
      </w:divBdr>
    </w:div>
    <w:div w:id="1455443772">
      <w:bodyDiv w:val="1"/>
      <w:marLeft w:val="0"/>
      <w:marRight w:val="0"/>
      <w:marTop w:val="0"/>
      <w:marBottom w:val="0"/>
      <w:divBdr>
        <w:top w:val="none" w:sz="0" w:space="0" w:color="auto"/>
        <w:left w:val="none" w:sz="0" w:space="0" w:color="auto"/>
        <w:bottom w:val="none" w:sz="0" w:space="0" w:color="auto"/>
        <w:right w:val="none" w:sz="0" w:space="0" w:color="auto"/>
      </w:divBdr>
    </w:div>
    <w:div w:id="1465193707">
      <w:bodyDiv w:val="1"/>
      <w:marLeft w:val="0"/>
      <w:marRight w:val="0"/>
      <w:marTop w:val="0"/>
      <w:marBottom w:val="0"/>
      <w:divBdr>
        <w:top w:val="none" w:sz="0" w:space="0" w:color="auto"/>
        <w:left w:val="none" w:sz="0" w:space="0" w:color="auto"/>
        <w:bottom w:val="none" w:sz="0" w:space="0" w:color="auto"/>
        <w:right w:val="none" w:sz="0" w:space="0" w:color="auto"/>
      </w:divBdr>
    </w:div>
    <w:div w:id="1483042286">
      <w:bodyDiv w:val="1"/>
      <w:marLeft w:val="0"/>
      <w:marRight w:val="0"/>
      <w:marTop w:val="0"/>
      <w:marBottom w:val="0"/>
      <w:divBdr>
        <w:top w:val="none" w:sz="0" w:space="0" w:color="auto"/>
        <w:left w:val="none" w:sz="0" w:space="0" w:color="auto"/>
        <w:bottom w:val="none" w:sz="0" w:space="0" w:color="auto"/>
        <w:right w:val="none" w:sz="0" w:space="0" w:color="auto"/>
      </w:divBdr>
    </w:div>
    <w:div w:id="1488087508">
      <w:bodyDiv w:val="1"/>
      <w:marLeft w:val="0"/>
      <w:marRight w:val="0"/>
      <w:marTop w:val="0"/>
      <w:marBottom w:val="0"/>
      <w:divBdr>
        <w:top w:val="none" w:sz="0" w:space="0" w:color="auto"/>
        <w:left w:val="none" w:sz="0" w:space="0" w:color="auto"/>
        <w:bottom w:val="none" w:sz="0" w:space="0" w:color="auto"/>
        <w:right w:val="none" w:sz="0" w:space="0" w:color="auto"/>
      </w:divBdr>
    </w:div>
    <w:div w:id="1489250311">
      <w:bodyDiv w:val="1"/>
      <w:marLeft w:val="0"/>
      <w:marRight w:val="0"/>
      <w:marTop w:val="0"/>
      <w:marBottom w:val="0"/>
      <w:divBdr>
        <w:top w:val="none" w:sz="0" w:space="0" w:color="auto"/>
        <w:left w:val="none" w:sz="0" w:space="0" w:color="auto"/>
        <w:bottom w:val="none" w:sz="0" w:space="0" w:color="auto"/>
        <w:right w:val="none" w:sz="0" w:space="0" w:color="auto"/>
      </w:divBdr>
    </w:div>
    <w:div w:id="1611934114">
      <w:bodyDiv w:val="1"/>
      <w:marLeft w:val="0"/>
      <w:marRight w:val="0"/>
      <w:marTop w:val="0"/>
      <w:marBottom w:val="0"/>
      <w:divBdr>
        <w:top w:val="none" w:sz="0" w:space="0" w:color="auto"/>
        <w:left w:val="none" w:sz="0" w:space="0" w:color="auto"/>
        <w:bottom w:val="none" w:sz="0" w:space="0" w:color="auto"/>
        <w:right w:val="none" w:sz="0" w:space="0" w:color="auto"/>
      </w:divBdr>
    </w:div>
    <w:div w:id="1613632218">
      <w:bodyDiv w:val="1"/>
      <w:marLeft w:val="0"/>
      <w:marRight w:val="0"/>
      <w:marTop w:val="0"/>
      <w:marBottom w:val="0"/>
      <w:divBdr>
        <w:top w:val="none" w:sz="0" w:space="0" w:color="auto"/>
        <w:left w:val="none" w:sz="0" w:space="0" w:color="auto"/>
        <w:bottom w:val="none" w:sz="0" w:space="0" w:color="auto"/>
        <w:right w:val="none" w:sz="0" w:space="0" w:color="auto"/>
      </w:divBdr>
    </w:div>
    <w:div w:id="1670525533">
      <w:bodyDiv w:val="1"/>
      <w:marLeft w:val="0"/>
      <w:marRight w:val="0"/>
      <w:marTop w:val="0"/>
      <w:marBottom w:val="0"/>
      <w:divBdr>
        <w:top w:val="none" w:sz="0" w:space="0" w:color="auto"/>
        <w:left w:val="none" w:sz="0" w:space="0" w:color="auto"/>
        <w:bottom w:val="none" w:sz="0" w:space="0" w:color="auto"/>
        <w:right w:val="none" w:sz="0" w:space="0" w:color="auto"/>
      </w:divBdr>
    </w:div>
    <w:div w:id="1687293663">
      <w:bodyDiv w:val="1"/>
      <w:marLeft w:val="0"/>
      <w:marRight w:val="0"/>
      <w:marTop w:val="0"/>
      <w:marBottom w:val="0"/>
      <w:divBdr>
        <w:top w:val="none" w:sz="0" w:space="0" w:color="auto"/>
        <w:left w:val="none" w:sz="0" w:space="0" w:color="auto"/>
        <w:bottom w:val="none" w:sz="0" w:space="0" w:color="auto"/>
        <w:right w:val="none" w:sz="0" w:space="0" w:color="auto"/>
      </w:divBdr>
    </w:div>
    <w:div w:id="1715734788">
      <w:bodyDiv w:val="1"/>
      <w:marLeft w:val="0"/>
      <w:marRight w:val="0"/>
      <w:marTop w:val="0"/>
      <w:marBottom w:val="0"/>
      <w:divBdr>
        <w:top w:val="none" w:sz="0" w:space="0" w:color="auto"/>
        <w:left w:val="none" w:sz="0" w:space="0" w:color="auto"/>
        <w:bottom w:val="none" w:sz="0" w:space="0" w:color="auto"/>
        <w:right w:val="none" w:sz="0" w:space="0" w:color="auto"/>
      </w:divBdr>
    </w:div>
    <w:div w:id="1729454594">
      <w:bodyDiv w:val="1"/>
      <w:marLeft w:val="0"/>
      <w:marRight w:val="0"/>
      <w:marTop w:val="0"/>
      <w:marBottom w:val="0"/>
      <w:divBdr>
        <w:top w:val="none" w:sz="0" w:space="0" w:color="auto"/>
        <w:left w:val="none" w:sz="0" w:space="0" w:color="auto"/>
        <w:bottom w:val="none" w:sz="0" w:space="0" w:color="auto"/>
        <w:right w:val="none" w:sz="0" w:space="0" w:color="auto"/>
      </w:divBdr>
    </w:div>
    <w:div w:id="1897278416">
      <w:bodyDiv w:val="1"/>
      <w:marLeft w:val="0"/>
      <w:marRight w:val="0"/>
      <w:marTop w:val="0"/>
      <w:marBottom w:val="0"/>
      <w:divBdr>
        <w:top w:val="none" w:sz="0" w:space="0" w:color="auto"/>
        <w:left w:val="none" w:sz="0" w:space="0" w:color="auto"/>
        <w:bottom w:val="none" w:sz="0" w:space="0" w:color="auto"/>
        <w:right w:val="none" w:sz="0" w:space="0" w:color="auto"/>
      </w:divBdr>
    </w:div>
    <w:div w:id="1961721432">
      <w:bodyDiv w:val="1"/>
      <w:marLeft w:val="0"/>
      <w:marRight w:val="0"/>
      <w:marTop w:val="0"/>
      <w:marBottom w:val="0"/>
      <w:divBdr>
        <w:top w:val="none" w:sz="0" w:space="0" w:color="auto"/>
        <w:left w:val="none" w:sz="0" w:space="0" w:color="auto"/>
        <w:bottom w:val="none" w:sz="0" w:space="0" w:color="auto"/>
        <w:right w:val="none" w:sz="0" w:space="0" w:color="auto"/>
      </w:divBdr>
    </w:div>
    <w:div w:id="2037074458">
      <w:bodyDiv w:val="1"/>
      <w:marLeft w:val="0"/>
      <w:marRight w:val="0"/>
      <w:marTop w:val="0"/>
      <w:marBottom w:val="0"/>
      <w:divBdr>
        <w:top w:val="none" w:sz="0" w:space="0" w:color="auto"/>
        <w:left w:val="none" w:sz="0" w:space="0" w:color="auto"/>
        <w:bottom w:val="none" w:sz="0" w:space="0" w:color="auto"/>
        <w:right w:val="none" w:sz="0" w:space="0" w:color="auto"/>
      </w:divBdr>
    </w:div>
    <w:div w:id="2051950495">
      <w:bodyDiv w:val="1"/>
      <w:marLeft w:val="0"/>
      <w:marRight w:val="0"/>
      <w:marTop w:val="0"/>
      <w:marBottom w:val="0"/>
      <w:divBdr>
        <w:top w:val="none" w:sz="0" w:space="0" w:color="auto"/>
        <w:left w:val="none" w:sz="0" w:space="0" w:color="auto"/>
        <w:bottom w:val="none" w:sz="0" w:space="0" w:color="auto"/>
        <w:right w:val="none" w:sz="0" w:space="0" w:color="auto"/>
      </w:divBdr>
    </w:div>
    <w:div w:id="20727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5A6C-5C94-4722-A6F9-47763863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Tuplin</dc:creator>
  <cp:keywords/>
  <dc:description/>
  <cp:lastModifiedBy>LINTIN, Zoe (DONCASTER AND BASSETLAW TEACHING HOSPITALS NHS FOUNDATION TRUST)</cp:lastModifiedBy>
  <cp:revision>4</cp:revision>
  <cp:lastPrinted>2022-02-15T11:41:00Z</cp:lastPrinted>
  <dcterms:created xsi:type="dcterms:W3CDTF">2023-03-06T13:37:00Z</dcterms:created>
  <dcterms:modified xsi:type="dcterms:W3CDTF">2023-03-06T14:52:00Z</dcterms:modified>
</cp:coreProperties>
</file>