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EA0B" w14:textId="77777777" w:rsidR="00730D38" w:rsidRDefault="001A437B">
      <w:r>
        <w:rPr>
          <w:noProof/>
          <w:lang w:eastAsia="en-GB"/>
        </w:rPr>
        <w:drawing>
          <wp:anchor distT="0" distB="0" distL="114300" distR="114300" simplePos="0" relativeHeight="251659264" behindDoc="1" locked="0" layoutInCell="1" allowOverlap="1" wp14:anchorId="783D7D5D" wp14:editId="69FF3DF0">
            <wp:simplePos x="0" y="0"/>
            <wp:positionH relativeFrom="margin">
              <wp:align>right</wp:align>
            </wp:positionH>
            <wp:positionV relativeFrom="margin">
              <wp:posOffset>-447675</wp:posOffset>
            </wp:positionV>
            <wp:extent cx="2657475" cy="780415"/>
            <wp:effectExtent l="0" t="0" r="0" b="635"/>
            <wp:wrapTight wrapText="bothSides">
              <wp:wrapPolygon edited="0">
                <wp:start x="0" y="0"/>
                <wp:lineTo x="0" y="21090"/>
                <wp:lineTo x="21368" y="21090"/>
                <wp:lineTo x="21368" y="0"/>
                <wp:lineTo x="0" y="0"/>
              </wp:wrapPolygon>
            </wp:wrapTight>
            <wp:docPr id="10" name="Picture 1" descr="C:\Users\sullivank2\AppData\Local\Microsoft\Windows\Temporary Internet Files\Content.Outlook\FG643KZH\NHS DBTH Colou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llivank2\AppData\Local\Microsoft\Windows\Temporary Internet Files\Content.Outlook\FG643KZH\NHS DBTH Colour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0" cy="78351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C871CC" w14:textId="77777777" w:rsidR="00730D38" w:rsidRPr="00AB5A99" w:rsidRDefault="00730D38">
      <w:pPr>
        <w:rPr>
          <w:sz w:val="20"/>
          <w:szCs w:val="20"/>
        </w:rPr>
      </w:pPr>
    </w:p>
    <w:tbl>
      <w:tblPr>
        <w:tblStyle w:val="TableGrid"/>
        <w:tblW w:w="9776" w:type="dxa"/>
        <w:tblLook w:val="04A0" w:firstRow="1" w:lastRow="0" w:firstColumn="1" w:lastColumn="0" w:noHBand="0" w:noVBand="1"/>
      </w:tblPr>
      <w:tblGrid>
        <w:gridCol w:w="1975"/>
        <w:gridCol w:w="7801"/>
      </w:tblGrid>
      <w:tr w:rsidR="00730D38" w14:paraId="12EAF74C" w14:textId="77777777" w:rsidTr="00025125">
        <w:tc>
          <w:tcPr>
            <w:tcW w:w="9776" w:type="dxa"/>
            <w:gridSpan w:val="2"/>
            <w:shd w:val="clear" w:color="auto" w:fill="4F81BD"/>
            <w:vAlign w:val="center"/>
          </w:tcPr>
          <w:p w14:paraId="26C29C17" w14:textId="5C851789" w:rsidR="00730D38" w:rsidRPr="00730D38" w:rsidRDefault="00A77D24" w:rsidP="00113046">
            <w:pPr>
              <w:spacing w:line="276" w:lineRule="auto"/>
              <w:jc w:val="center"/>
              <w:rPr>
                <w:b/>
                <w:color w:val="FFFFFF" w:themeColor="background1"/>
              </w:rPr>
            </w:pPr>
            <w:r>
              <w:rPr>
                <w:b/>
                <w:color w:val="FFFFFF" w:themeColor="background1"/>
              </w:rPr>
              <w:t>Executive Briefing Paper</w:t>
            </w:r>
          </w:p>
        </w:tc>
      </w:tr>
      <w:tr w:rsidR="00730D38" w14:paraId="084D6226" w14:textId="77777777" w:rsidTr="00DA16C0">
        <w:tc>
          <w:tcPr>
            <w:tcW w:w="1975" w:type="dxa"/>
          </w:tcPr>
          <w:p w14:paraId="5B1DE963" w14:textId="77777777" w:rsidR="00730D38" w:rsidRPr="00113046" w:rsidRDefault="00730D38" w:rsidP="00113046">
            <w:pPr>
              <w:spacing w:line="360" w:lineRule="auto"/>
              <w:rPr>
                <w:b/>
              </w:rPr>
            </w:pPr>
            <w:r w:rsidRPr="00113046">
              <w:rPr>
                <w:b/>
              </w:rPr>
              <w:t>Meeting Title:</w:t>
            </w:r>
          </w:p>
        </w:tc>
        <w:tc>
          <w:tcPr>
            <w:tcW w:w="7801" w:type="dxa"/>
          </w:tcPr>
          <w:p w14:paraId="258F5F72" w14:textId="7FBAB6C4" w:rsidR="00730D38" w:rsidRPr="00D316AA" w:rsidRDefault="00A77D24">
            <w:pPr>
              <w:rPr>
                <w:b/>
                <w:bCs/>
                <w:color w:val="FF0000"/>
              </w:rPr>
            </w:pPr>
            <w:r>
              <w:rPr>
                <w:b/>
                <w:bCs/>
              </w:rPr>
              <w:t>Executive Team Meeting</w:t>
            </w:r>
          </w:p>
        </w:tc>
      </w:tr>
      <w:tr w:rsidR="00A77D24" w14:paraId="4845263E" w14:textId="77777777">
        <w:tc>
          <w:tcPr>
            <w:tcW w:w="1975" w:type="dxa"/>
          </w:tcPr>
          <w:p w14:paraId="1BBAF518" w14:textId="77777777" w:rsidR="00A77D24" w:rsidRPr="00113046" w:rsidRDefault="00A77D24" w:rsidP="00113046">
            <w:pPr>
              <w:spacing w:line="360" w:lineRule="auto"/>
              <w:rPr>
                <w:b/>
              </w:rPr>
            </w:pPr>
            <w:r w:rsidRPr="00113046">
              <w:rPr>
                <w:b/>
              </w:rPr>
              <w:t xml:space="preserve">Meeting Date: </w:t>
            </w:r>
          </w:p>
        </w:tc>
        <w:tc>
          <w:tcPr>
            <w:tcW w:w="7801" w:type="dxa"/>
          </w:tcPr>
          <w:p w14:paraId="0011DC82" w14:textId="149E2CCD" w:rsidR="00A77D24" w:rsidRPr="005B658F" w:rsidRDefault="005B658F">
            <w:r w:rsidRPr="005B658F">
              <w:t>18 February 2026</w:t>
            </w:r>
          </w:p>
        </w:tc>
      </w:tr>
      <w:tr w:rsidR="00C26A06" w14:paraId="2CB2C8CE" w14:textId="77777777" w:rsidTr="00DA16C0">
        <w:tc>
          <w:tcPr>
            <w:tcW w:w="1975" w:type="dxa"/>
          </w:tcPr>
          <w:p w14:paraId="1FD8E926" w14:textId="77777777" w:rsidR="00C26A06" w:rsidRPr="00113046" w:rsidRDefault="00C26A06" w:rsidP="00113046">
            <w:pPr>
              <w:spacing w:line="360" w:lineRule="auto"/>
              <w:rPr>
                <w:b/>
              </w:rPr>
            </w:pPr>
            <w:r w:rsidRPr="00113046">
              <w:rPr>
                <w:b/>
              </w:rPr>
              <w:t>Report Title:</w:t>
            </w:r>
          </w:p>
        </w:tc>
        <w:tc>
          <w:tcPr>
            <w:tcW w:w="7801" w:type="dxa"/>
          </w:tcPr>
          <w:p w14:paraId="5F752900" w14:textId="2972F1F9" w:rsidR="00C26A06" w:rsidRPr="00D316AA" w:rsidRDefault="009F4A07">
            <w:pPr>
              <w:rPr>
                <w:b/>
                <w:bCs/>
              </w:rPr>
            </w:pPr>
            <w:r>
              <w:rPr>
                <w:b/>
                <w:bCs/>
              </w:rPr>
              <w:t>Gender Pay Gap</w:t>
            </w:r>
            <w:r w:rsidR="00465321">
              <w:rPr>
                <w:b/>
                <w:bCs/>
              </w:rPr>
              <w:t xml:space="preserve"> </w:t>
            </w:r>
            <w:r w:rsidR="005B658F">
              <w:rPr>
                <w:b/>
                <w:bCs/>
              </w:rPr>
              <w:t xml:space="preserve">Report </w:t>
            </w:r>
            <w:r w:rsidR="00465321">
              <w:rPr>
                <w:b/>
                <w:bCs/>
              </w:rPr>
              <w:t>2025</w:t>
            </w:r>
          </w:p>
        </w:tc>
      </w:tr>
      <w:tr w:rsidR="00C26A06" w14:paraId="709D98C4" w14:textId="77777777" w:rsidTr="00DA16C0">
        <w:tc>
          <w:tcPr>
            <w:tcW w:w="1975" w:type="dxa"/>
          </w:tcPr>
          <w:p w14:paraId="61CE5E93" w14:textId="2CA0AE97" w:rsidR="00C26A06" w:rsidRPr="00113046" w:rsidRDefault="00B40D17" w:rsidP="00113046">
            <w:pPr>
              <w:spacing w:line="360" w:lineRule="auto"/>
              <w:rPr>
                <w:b/>
              </w:rPr>
            </w:pPr>
            <w:r>
              <w:rPr>
                <w:b/>
              </w:rPr>
              <w:t>Executive:</w:t>
            </w:r>
          </w:p>
        </w:tc>
        <w:tc>
          <w:tcPr>
            <w:tcW w:w="7801" w:type="dxa"/>
          </w:tcPr>
          <w:p w14:paraId="450F2224" w14:textId="241A877D" w:rsidR="00C26A06" w:rsidRPr="00D316AA" w:rsidRDefault="009F4A07">
            <w:r>
              <w:t>Zoe Lintin Chief People Officer</w:t>
            </w:r>
          </w:p>
        </w:tc>
      </w:tr>
      <w:tr w:rsidR="00C26A06" w14:paraId="53F03AAB" w14:textId="77777777" w:rsidTr="00DA16C0">
        <w:tc>
          <w:tcPr>
            <w:tcW w:w="1975" w:type="dxa"/>
          </w:tcPr>
          <w:p w14:paraId="072304F8" w14:textId="77777777" w:rsidR="00C26A06" w:rsidRPr="00113046" w:rsidRDefault="00C26A06" w:rsidP="00113046">
            <w:pPr>
              <w:spacing w:line="360" w:lineRule="auto"/>
              <w:rPr>
                <w:b/>
              </w:rPr>
            </w:pPr>
            <w:r w:rsidRPr="00113046">
              <w:rPr>
                <w:b/>
              </w:rPr>
              <w:t>Appendices:</w:t>
            </w:r>
          </w:p>
        </w:tc>
        <w:tc>
          <w:tcPr>
            <w:tcW w:w="7801" w:type="dxa"/>
          </w:tcPr>
          <w:p w14:paraId="6582547D" w14:textId="121030AE" w:rsidR="00821126" w:rsidRPr="00D316AA" w:rsidRDefault="005B658F" w:rsidP="00A77D24">
            <w:r>
              <w:t>N/A</w:t>
            </w:r>
          </w:p>
        </w:tc>
      </w:tr>
      <w:tr w:rsidR="007D3EE0" w14:paraId="702BBD55" w14:textId="77777777" w:rsidTr="00DA16C0">
        <w:tc>
          <w:tcPr>
            <w:tcW w:w="1975" w:type="dxa"/>
          </w:tcPr>
          <w:p w14:paraId="187B14A1" w14:textId="1C427054" w:rsidR="007D3EE0" w:rsidRPr="00113046" w:rsidRDefault="007D3EE0" w:rsidP="00113046">
            <w:pPr>
              <w:spacing w:line="360" w:lineRule="auto"/>
              <w:rPr>
                <w:b/>
              </w:rPr>
            </w:pPr>
            <w:r>
              <w:rPr>
                <w:b/>
              </w:rPr>
              <w:t xml:space="preserve">BAF </w:t>
            </w:r>
            <w:r w:rsidR="001A1C07">
              <w:rPr>
                <w:b/>
              </w:rPr>
              <w:t>R</w:t>
            </w:r>
            <w:r>
              <w:rPr>
                <w:b/>
              </w:rPr>
              <w:t>isks</w:t>
            </w:r>
          </w:p>
        </w:tc>
        <w:tc>
          <w:tcPr>
            <w:tcW w:w="7801" w:type="dxa"/>
          </w:tcPr>
          <w:p w14:paraId="44D31079" w14:textId="73F08C5E" w:rsidR="007D3EE0" w:rsidRPr="005B658F" w:rsidRDefault="005B658F" w:rsidP="00A77D24">
            <w:r>
              <w:t>BAF2</w:t>
            </w:r>
          </w:p>
        </w:tc>
      </w:tr>
      <w:tr w:rsidR="00C26A06" w14:paraId="35691B5C" w14:textId="77777777" w:rsidTr="00025125">
        <w:tc>
          <w:tcPr>
            <w:tcW w:w="9776" w:type="dxa"/>
            <w:gridSpan w:val="2"/>
            <w:shd w:val="clear" w:color="auto" w:fill="4F81BD"/>
          </w:tcPr>
          <w:p w14:paraId="4207843E" w14:textId="0C69F610" w:rsidR="00C26A06" w:rsidRDefault="00D56332" w:rsidP="00F55F6B">
            <w:pPr>
              <w:spacing w:line="276" w:lineRule="auto"/>
              <w:jc w:val="both"/>
            </w:pPr>
            <w:r>
              <w:rPr>
                <w:b/>
                <w:color w:val="FFFFFF" w:themeColor="background1"/>
              </w:rPr>
              <w:t xml:space="preserve">Executive </w:t>
            </w:r>
            <w:r w:rsidR="00C26A06">
              <w:rPr>
                <w:b/>
                <w:color w:val="FFFFFF" w:themeColor="background1"/>
              </w:rPr>
              <w:t>Summary</w:t>
            </w:r>
          </w:p>
        </w:tc>
      </w:tr>
      <w:tr w:rsidR="00AA30FD" w14:paraId="4673DF74" w14:textId="77777777" w:rsidTr="00287413">
        <w:trPr>
          <w:trHeight w:val="981"/>
        </w:trPr>
        <w:tc>
          <w:tcPr>
            <w:tcW w:w="9776" w:type="dxa"/>
            <w:gridSpan w:val="2"/>
          </w:tcPr>
          <w:p w14:paraId="126087CD" w14:textId="77777777" w:rsidR="009A3E81" w:rsidRPr="009A3E81" w:rsidRDefault="009A3E81" w:rsidP="009A3E81">
            <w:pPr>
              <w:spacing w:before="100" w:beforeAutospacing="1" w:after="100" w:afterAutospacing="1"/>
              <w:jc w:val="both"/>
              <w:rPr>
                <w:b/>
                <w:bCs/>
              </w:rPr>
            </w:pPr>
            <w:r w:rsidRPr="009A3E81">
              <w:rPr>
                <w:b/>
                <w:bCs/>
              </w:rPr>
              <w:t>1. Introduction</w:t>
            </w:r>
          </w:p>
          <w:p w14:paraId="489455D2" w14:textId="1951EB49" w:rsidR="0000415B" w:rsidRDefault="009A3E81" w:rsidP="009A3E81">
            <w:pPr>
              <w:spacing w:before="100" w:beforeAutospacing="1" w:after="100" w:afterAutospacing="1"/>
              <w:jc w:val="both"/>
              <w:rPr>
                <w:rFonts w:cstheme="minorHAnsi"/>
              </w:rPr>
            </w:pPr>
            <w:r w:rsidRPr="009A3E81">
              <w:t xml:space="preserve">This report examines the gender pay gap within our Trust as of </w:t>
            </w:r>
            <w:r w:rsidRPr="005B658F">
              <w:t>31 March 2025, showing</w:t>
            </w:r>
            <w:r w:rsidRPr="009A3E81">
              <w:t xml:space="preserve"> disparities between male and female employees. </w:t>
            </w:r>
            <w:r w:rsidR="005B658F">
              <w:t>The deadline for national submission of our gender pay gap reporting is 3</w:t>
            </w:r>
            <w:r w:rsidR="00847946">
              <w:t>1</w:t>
            </w:r>
            <w:r w:rsidR="005B658F">
              <w:t xml:space="preserve"> March 2026. The </w:t>
            </w:r>
            <w:r w:rsidRPr="005B658F">
              <w:rPr>
                <w:rFonts w:cstheme="minorHAnsi"/>
              </w:rPr>
              <w:t>gender breakdown continues to show that women make up the majority of the workforce at DBTH.</w:t>
            </w:r>
            <w:r w:rsidR="00FB702B" w:rsidRPr="005B658F">
              <w:rPr>
                <w:rFonts w:cstheme="minorHAnsi"/>
                <w:b/>
                <w:bCs/>
              </w:rPr>
              <w:t xml:space="preserve"> </w:t>
            </w:r>
            <w:r w:rsidR="00FB702B" w:rsidRPr="005B658F">
              <w:rPr>
                <w:rFonts w:cstheme="minorHAnsi"/>
              </w:rPr>
              <w:t xml:space="preserve"> </w:t>
            </w:r>
          </w:p>
          <w:p w14:paraId="55EF3E37" w14:textId="43D474DF" w:rsidR="009A3E81" w:rsidRPr="005B658F" w:rsidRDefault="00FB702B" w:rsidP="009A3E81">
            <w:pPr>
              <w:spacing w:before="100" w:beforeAutospacing="1" w:after="100" w:afterAutospacing="1"/>
              <w:jc w:val="both"/>
              <w:rPr>
                <w:rFonts w:cstheme="minorHAnsi"/>
              </w:rPr>
            </w:pPr>
            <w:r w:rsidRPr="005B658F">
              <w:rPr>
                <w:rFonts w:cstheme="minorHAnsi"/>
              </w:rPr>
              <w:t xml:space="preserve">The </w:t>
            </w:r>
            <w:r w:rsidR="0000415B">
              <w:rPr>
                <w:rFonts w:cstheme="minorHAnsi"/>
              </w:rPr>
              <w:t xml:space="preserve">median gender pay gap stands at 24.35%, improved from 29.4% in 2024, and the </w:t>
            </w:r>
            <w:r w:rsidRPr="005B658F">
              <w:rPr>
                <w:rFonts w:cstheme="minorHAnsi"/>
              </w:rPr>
              <w:t>mean gender pay gap stands at 34.63%, improved from 37.6% in 2024</w:t>
            </w:r>
            <w:r w:rsidR="009A3E81" w:rsidRPr="005B658F">
              <w:rPr>
                <w:rFonts w:cstheme="minorHAnsi"/>
              </w:rPr>
              <w:t>.</w:t>
            </w:r>
          </w:p>
          <w:p w14:paraId="5632B246" w14:textId="77777777" w:rsidR="009A3E81" w:rsidRPr="009A3E81" w:rsidRDefault="009A3E81" w:rsidP="009A3E81">
            <w:pPr>
              <w:spacing w:before="100" w:beforeAutospacing="1" w:after="100" w:afterAutospacing="1"/>
              <w:jc w:val="both"/>
              <w:rPr>
                <w:b/>
                <w:bCs/>
              </w:rPr>
            </w:pPr>
            <w:r w:rsidRPr="009A3E81">
              <w:rPr>
                <w:b/>
                <w:bCs/>
              </w:rPr>
              <w:t>2. Hourly Pay Gap</w:t>
            </w:r>
          </w:p>
          <w:p w14:paraId="71EE0FA7" w14:textId="77777777" w:rsidR="009A3E81" w:rsidRPr="009A3E81" w:rsidRDefault="009A3E81" w:rsidP="00B471C4">
            <w:pPr>
              <w:numPr>
                <w:ilvl w:val="0"/>
                <w:numId w:val="10"/>
              </w:numPr>
              <w:spacing w:before="100" w:beforeAutospacing="1" w:after="100" w:afterAutospacing="1"/>
              <w:jc w:val="both"/>
            </w:pPr>
            <w:r w:rsidRPr="009A3E81">
              <w:rPr>
                <w:b/>
                <w:bCs/>
              </w:rPr>
              <w:t>Mean Pay Gap:</w:t>
            </w:r>
            <w:r w:rsidRPr="009A3E81">
              <w:t xml:space="preserve"> 34.63% in favour of men.</w:t>
            </w:r>
          </w:p>
          <w:p w14:paraId="54DB6CE8" w14:textId="77777777" w:rsidR="009A3E81" w:rsidRPr="009A3E81" w:rsidRDefault="009A3E81" w:rsidP="00B471C4">
            <w:pPr>
              <w:numPr>
                <w:ilvl w:val="0"/>
                <w:numId w:val="10"/>
              </w:numPr>
              <w:spacing w:before="100" w:beforeAutospacing="1" w:after="100" w:afterAutospacing="1"/>
              <w:jc w:val="both"/>
            </w:pPr>
            <w:r w:rsidRPr="009A3E81">
              <w:rPr>
                <w:b/>
                <w:bCs/>
              </w:rPr>
              <w:t>Median Pay Gap:</w:t>
            </w:r>
            <w:r w:rsidRPr="009A3E81">
              <w:t xml:space="preserve"> 24.35% in favour of men.</w:t>
            </w:r>
          </w:p>
          <w:p w14:paraId="5F0880ED" w14:textId="77777777" w:rsidR="005B658F" w:rsidRDefault="009A3E81" w:rsidP="009A3E81">
            <w:pPr>
              <w:spacing w:before="100" w:beforeAutospacing="1" w:after="100" w:afterAutospacing="1"/>
              <w:jc w:val="both"/>
            </w:pPr>
            <w:r w:rsidRPr="009A3E81">
              <w:t>This indicates that, on average, men continue to earn significantly more per hour than women, highlighting ongoing systemic issues in pay equity at DBTH</w:t>
            </w:r>
            <w:r w:rsidR="005B658F">
              <w:t>. This is reflective of the wider NHS as pay arrangements are determined nationally and the gender breakdown in trusts is often similar to the shape at DBTH</w:t>
            </w:r>
            <w:r w:rsidRPr="009A3E81">
              <w:t xml:space="preserve">. </w:t>
            </w:r>
          </w:p>
          <w:p w14:paraId="00EDE836" w14:textId="42D1C86D" w:rsidR="009A3E81" w:rsidRPr="009A3E81" w:rsidRDefault="005B658F" w:rsidP="009A3E81">
            <w:pPr>
              <w:spacing w:before="100" w:beforeAutospacing="1" w:after="100" w:afterAutospacing="1"/>
              <w:jc w:val="both"/>
            </w:pPr>
            <w:r>
              <w:t xml:space="preserve">This position is also linked to the distribution of employees amongst the pay quartiles, with the upper quartile being the one where men are most represented. </w:t>
            </w:r>
            <w:r w:rsidR="009A3E81" w:rsidRPr="009A3E81">
              <w:t>There has been some improvement compared to 2024, although the gap remains considerable.</w:t>
            </w:r>
          </w:p>
          <w:p w14:paraId="54D2A7CA" w14:textId="347A7AB6" w:rsidR="009A3E81" w:rsidRPr="00B5241F" w:rsidRDefault="009A3E81" w:rsidP="00B5241F">
            <w:pPr>
              <w:spacing w:before="100" w:beforeAutospacing="1" w:after="100" w:afterAutospacing="1"/>
              <w:jc w:val="both"/>
              <w:rPr>
                <w:b/>
                <w:bCs/>
              </w:rPr>
            </w:pPr>
            <w:r w:rsidRPr="009A3E81">
              <w:rPr>
                <w:b/>
                <w:bCs/>
              </w:rPr>
              <w:t>3. Pay Quartiles</w:t>
            </w:r>
          </w:p>
          <w:p w14:paraId="307BD0AB" w14:textId="54657D5B" w:rsidR="009A3E81" w:rsidRDefault="00B5241F" w:rsidP="00B471C4">
            <w:pPr>
              <w:numPr>
                <w:ilvl w:val="0"/>
                <w:numId w:val="10"/>
              </w:numPr>
              <w:spacing w:before="100" w:beforeAutospacing="1" w:after="100" w:afterAutospacing="1"/>
              <w:jc w:val="both"/>
            </w:pPr>
            <w:r w:rsidRPr="009A3E81">
              <w:rPr>
                <w:b/>
                <w:bCs/>
              </w:rPr>
              <w:t>Upper Quartile</w:t>
            </w:r>
            <w:r w:rsidR="009A3E81" w:rsidRPr="009A3E81">
              <w:rPr>
                <w:b/>
                <w:bCs/>
              </w:rPr>
              <w:t>:</w:t>
            </w:r>
            <w:r w:rsidR="009A3E81" w:rsidRPr="009A3E81">
              <w:t xml:space="preserve"> </w:t>
            </w:r>
            <w:r>
              <w:t xml:space="preserve">35.48 </w:t>
            </w:r>
            <w:r w:rsidR="009A3E81" w:rsidRPr="009A3E81">
              <w:t xml:space="preserve">% men vs. </w:t>
            </w:r>
            <w:r>
              <w:t>64.52</w:t>
            </w:r>
            <w:r w:rsidR="009A3E81" w:rsidRPr="009A3E81">
              <w:t>% women.</w:t>
            </w:r>
            <w:r>
              <w:t xml:space="preserve"> </w:t>
            </w:r>
            <w:r w:rsidRPr="009A3E81">
              <w:t>Men remain more represented in higher-paying roles (e.g., experienced senior consultants), contributing to the overall pay gap.</w:t>
            </w:r>
          </w:p>
          <w:p w14:paraId="358DFFE0" w14:textId="5CC33250" w:rsidR="00B5241F" w:rsidRPr="009A3E81" w:rsidRDefault="00B5241F" w:rsidP="00B5241F">
            <w:pPr>
              <w:numPr>
                <w:ilvl w:val="0"/>
                <w:numId w:val="10"/>
              </w:numPr>
              <w:spacing w:before="100" w:beforeAutospacing="1" w:after="100" w:afterAutospacing="1"/>
              <w:jc w:val="both"/>
            </w:pPr>
            <w:r w:rsidRPr="009A3E81">
              <w:rPr>
                <w:b/>
                <w:bCs/>
              </w:rPr>
              <w:t>Upper Middle Quartile:</w:t>
            </w:r>
            <w:r w:rsidRPr="009A3E81">
              <w:t xml:space="preserve"> 14.70% men vs. 85.30% women.</w:t>
            </w:r>
          </w:p>
          <w:p w14:paraId="1900F342" w14:textId="77777777" w:rsidR="009A3E81" w:rsidRPr="009A3E81" w:rsidRDefault="009A3E81" w:rsidP="00B471C4">
            <w:pPr>
              <w:numPr>
                <w:ilvl w:val="0"/>
                <w:numId w:val="10"/>
              </w:numPr>
              <w:spacing w:before="100" w:beforeAutospacing="1" w:after="100" w:afterAutospacing="1"/>
              <w:jc w:val="both"/>
            </w:pPr>
            <w:r w:rsidRPr="009A3E81">
              <w:rPr>
                <w:b/>
                <w:bCs/>
              </w:rPr>
              <w:t>Lower Middle Quartile:</w:t>
            </w:r>
            <w:r w:rsidRPr="009A3E81">
              <w:t xml:space="preserve"> 13.88% men vs. 86.12% women.</w:t>
            </w:r>
          </w:p>
          <w:p w14:paraId="5480FB39" w14:textId="77777777" w:rsidR="009A3E81" w:rsidRPr="009A3E81" w:rsidRDefault="009A3E81" w:rsidP="00B471C4">
            <w:pPr>
              <w:numPr>
                <w:ilvl w:val="0"/>
                <w:numId w:val="10"/>
              </w:numPr>
              <w:spacing w:before="100" w:beforeAutospacing="1" w:after="100" w:afterAutospacing="1"/>
              <w:jc w:val="both"/>
            </w:pPr>
            <w:r w:rsidRPr="009A3E81">
              <w:rPr>
                <w:b/>
                <w:bCs/>
              </w:rPr>
              <w:t>Lower Quartile:</w:t>
            </w:r>
            <w:r w:rsidRPr="009A3E81">
              <w:t xml:space="preserve"> 12.22% men vs. 87.78% women.</w:t>
            </w:r>
          </w:p>
          <w:p w14:paraId="7332A826" w14:textId="1486B47E" w:rsidR="009A3E81" w:rsidRPr="00B85F7D" w:rsidRDefault="009A3E81" w:rsidP="009A3E81">
            <w:pPr>
              <w:spacing w:before="100" w:beforeAutospacing="1" w:after="100" w:afterAutospacing="1"/>
              <w:jc w:val="both"/>
              <w:rPr>
                <w:strike/>
              </w:rPr>
            </w:pPr>
            <w:r w:rsidRPr="009A3E81">
              <w:t xml:space="preserve">Women continue to make up a higher percentage of the workforce in the </w:t>
            </w:r>
            <w:r w:rsidR="00441584">
              <w:t xml:space="preserve">middle </w:t>
            </w:r>
            <w:r w:rsidR="005B658F">
              <w:t>and</w:t>
            </w:r>
            <w:r w:rsidR="00441584">
              <w:t xml:space="preserve"> </w:t>
            </w:r>
            <w:r w:rsidRPr="009A3E81">
              <w:t>lower pay quartiles, as they are predominantly represented in roles such as Healthcare Assistants, Administrative and Clerical, and Support Services. These roles</w:t>
            </w:r>
            <w:r w:rsidR="00441584">
              <w:t xml:space="preserve">, based on the 2025 DBTH workforce data, are filled by women across a range job roles and the Agenda for Change pay scales from band 2 upwards to </w:t>
            </w:r>
            <w:r w:rsidR="008A0EE1">
              <w:t xml:space="preserve">band </w:t>
            </w:r>
            <w:r w:rsidR="00FB702B">
              <w:t>6</w:t>
            </w:r>
            <w:r w:rsidR="00B85F7D">
              <w:t>.</w:t>
            </w:r>
            <w:r w:rsidR="00FB702B">
              <w:t xml:space="preserve"> </w:t>
            </w:r>
            <w:r w:rsidR="008A0EE1">
              <w:t xml:space="preserve">   </w:t>
            </w:r>
          </w:p>
          <w:p w14:paraId="669081CD" w14:textId="54161BDD" w:rsidR="009A3E81" w:rsidRPr="009A3E81" w:rsidRDefault="009A3E81" w:rsidP="009A3E81">
            <w:pPr>
              <w:spacing w:before="100" w:beforeAutospacing="1" w:after="100" w:afterAutospacing="1"/>
              <w:jc w:val="both"/>
            </w:pPr>
            <w:r w:rsidRPr="009A3E81">
              <w:t xml:space="preserve">The Healthcare Assistant and Support Worker </w:t>
            </w:r>
            <w:r w:rsidR="0000415B">
              <w:t>t</w:t>
            </w:r>
            <w:r w:rsidRPr="009A3E81">
              <w:t xml:space="preserve">ransition </w:t>
            </w:r>
            <w:r w:rsidR="0000415B">
              <w:t>p</w:t>
            </w:r>
            <w:r w:rsidRPr="009A3E81">
              <w:t xml:space="preserve">roject at DBTH </w:t>
            </w:r>
            <w:r w:rsidR="004F0F0C">
              <w:t xml:space="preserve">has been </w:t>
            </w:r>
            <w:r w:rsidR="009F4A07">
              <w:t>completed</w:t>
            </w:r>
            <w:r w:rsidR="009F4A07" w:rsidRPr="009A3E81">
              <w:t xml:space="preserve">, </w:t>
            </w:r>
            <w:r w:rsidR="009F4A07">
              <w:t>it</w:t>
            </w:r>
            <w:r w:rsidR="004F0F0C">
              <w:t xml:space="preserve"> </w:t>
            </w:r>
            <w:r w:rsidRPr="009A3E81">
              <w:t>support</w:t>
            </w:r>
            <w:r w:rsidR="004F0F0C">
              <w:t>ed</w:t>
            </w:r>
            <w:r w:rsidRPr="009A3E81">
              <w:t xml:space="preserve"> colleagues transitioning from Band 2 to Band 3</w:t>
            </w:r>
            <w:r w:rsidR="0000415B">
              <w:t xml:space="preserve"> where appropriate to the work undertaken within the required role</w:t>
            </w:r>
            <w:r w:rsidRPr="009A3E81">
              <w:t xml:space="preserve">. This </w:t>
            </w:r>
            <w:r w:rsidR="0000415B">
              <w:t>project</w:t>
            </w:r>
            <w:r w:rsidRPr="009A3E81">
              <w:t xml:space="preserve"> ensure</w:t>
            </w:r>
            <w:r w:rsidR="004F0F0C">
              <w:t>d</w:t>
            </w:r>
            <w:r w:rsidRPr="009A3E81">
              <w:t xml:space="preserve"> that pay protection, backdated pay, and any required adjustments </w:t>
            </w:r>
            <w:r w:rsidR="0000415B">
              <w:t>we</w:t>
            </w:r>
            <w:r w:rsidRPr="009A3E81">
              <w:t>re applied fairly and accurately</w:t>
            </w:r>
            <w:r w:rsidR="0000415B">
              <w:t xml:space="preserve"> and the majority of employees involved were women.</w:t>
            </w:r>
          </w:p>
          <w:p w14:paraId="50D0850A" w14:textId="5660F908" w:rsidR="009A3E81" w:rsidRPr="009A3E81" w:rsidRDefault="009A3E81" w:rsidP="009A3E81">
            <w:pPr>
              <w:spacing w:before="100" w:beforeAutospacing="1" w:after="100" w:afterAutospacing="1"/>
              <w:jc w:val="both"/>
            </w:pPr>
            <w:r w:rsidRPr="009A3E81">
              <w:t xml:space="preserve">Actions are being added to the DBTH ED&amp;I high-level improvement plan under High-Level Action 3 – Develop and implement an improvement plan to eliminate pay gaps. </w:t>
            </w:r>
            <w:r w:rsidR="0000415B">
              <w:t>The Trust continues to progress the flexible working workstream, Scope for Growth career conversation, talent management and leadership development opportunities.</w:t>
            </w:r>
          </w:p>
          <w:p w14:paraId="341DF6FB" w14:textId="77777777" w:rsidR="009A3E81" w:rsidRPr="009A3E81" w:rsidRDefault="009A3E81" w:rsidP="009A3E81">
            <w:pPr>
              <w:spacing w:before="100" w:beforeAutospacing="1" w:after="100" w:afterAutospacing="1"/>
              <w:jc w:val="both"/>
              <w:rPr>
                <w:b/>
                <w:bCs/>
              </w:rPr>
            </w:pPr>
            <w:r w:rsidRPr="009A3E81">
              <w:rPr>
                <w:b/>
                <w:bCs/>
              </w:rPr>
              <w:t>4. Bonus Pay</w:t>
            </w:r>
          </w:p>
          <w:p w14:paraId="7A4431B3" w14:textId="4C1752A2" w:rsidR="00B471C4" w:rsidRDefault="009A3E81" w:rsidP="00B471C4">
            <w:pPr>
              <w:spacing w:before="100" w:beforeAutospacing="1" w:after="100" w:afterAutospacing="1"/>
              <w:jc w:val="both"/>
            </w:pPr>
            <w:r w:rsidRPr="009A3E81">
              <w:t>The Clinical Excellence Awards (CEA) for consultants remain a key driver of bonus pay disparity. Other allowances or forms of additional income may also be relevant, such as grants or payments linked to academic or research activity.</w:t>
            </w:r>
          </w:p>
          <w:p w14:paraId="1DEFCC27" w14:textId="77777777" w:rsidR="00B471C4" w:rsidRDefault="00B471C4" w:rsidP="0000415B">
            <w:pPr>
              <w:spacing w:before="100" w:beforeAutospacing="1" w:after="100" w:afterAutospacing="1"/>
              <w:jc w:val="both"/>
              <w:rPr>
                <w:bCs/>
              </w:rPr>
            </w:pPr>
            <w:r w:rsidRPr="002B0178">
              <w:rPr>
                <w:b/>
                <w:bCs/>
              </w:rPr>
              <w:t>Proportion Receiving Bonuses:</w:t>
            </w:r>
          </w:p>
          <w:p w14:paraId="1377B61C" w14:textId="39553AD1" w:rsidR="00B471C4" w:rsidRDefault="00B471C4" w:rsidP="00B471C4">
            <w:pPr>
              <w:numPr>
                <w:ilvl w:val="0"/>
                <w:numId w:val="10"/>
              </w:numPr>
              <w:spacing w:before="100" w:beforeAutospacing="1" w:after="100" w:afterAutospacing="1"/>
              <w:jc w:val="both"/>
              <w:rPr>
                <w:bCs/>
              </w:rPr>
            </w:pPr>
            <w:r w:rsidRPr="008D5E58">
              <w:rPr>
                <w:b/>
                <w:bCs/>
              </w:rPr>
              <w:t>Men:</w:t>
            </w:r>
            <w:r>
              <w:rPr>
                <w:bCs/>
              </w:rPr>
              <w:t xml:space="preserve"> 9.61</w:t>
            </w:r>
            <w:r w:rsidRPr="008D5E58">
              <w:rPr>
                <w:bCs/>
              </w:rPr>
              <w:t>%</w:t>
            </w:r>
          </w:p>
          <w:p w14:paraId="5E8CD8F4" w14:textId="2EFCF137" w:rsidR="00B471C4" w:rsidRPr="00B471C4" w:rsidRDefault="00B471C4" w:rsidP="00B471C4">
            <w:pPr>
              <w:numPr>
                <w:ilvl w:val="0"/>
                <w:numId w:val="10"/>
              </w:numPr>
              <w:spacing w:before="100" w:beforeAutospacing="1" w:after="100" w:afterAutospacing="1"/>
              <w:jc w:val="both"/>
              <w:rPr>
                <w:bCs/>
              </w:rPr>
            </w:pPr>
            <w:r w:rsidRPr="008D5E58">
              <w:rPr>
                <w:b/>
                <w:bCs/>
              </w:rPr>
              <w:t>Women:</w:t>
            </w:r>
            <w:r>
              <w:rPr>
                <w:bCs/>
              </w:rPr>
              <w:t xml:space="preserve"> </w:t>
            </w:r>
            <w:r w:rsidRPr="008D5E58">
              <w:rPr>
                <w:bCs/>
              </w:rPr>
              <w:t>0</w:t>
            </w:r>
            <w:r>
              <w:rPr>
                <w:bCs/>
              </w:rPr>
              <w:t>.74</w:t>
            </w:r>
            <w:r w:rsidRPr="008D5E58">
              <w:rPr>
                <w:bCs/>
              </w:rPr>
              <w:t>%</w:t>
            </w:r>
          </w:p>
          <w:p w14:paraId="3C498D03" w14:textId="14F6E3C6" w:rsidR="009A3E81" w:rsidRPr="009A3E81" w:rsidRDefault="009A3E81" w:rsidP="00B471C4">
            <w:pPr>
              <w:numPr>
                <w:ilvl w:val="0"/>
                <w:numId w:val="10"/>
              </w:numPr>
              <w:spacing w:before="100" w:beforeAutospacing="1" w:after="100" w:afterAutospacing="1"/>
              <w:jc w:val="both"/>
            </w:pPr>
            <w:r w:rsidRPr="009A3E81">
              <w:rPr>
                <w:b/>
                <w:bCs/>
              </w:rPr>
              <w:t>Mean Bonus Gap:</w:t>
            </w:r>
            <w:r w:rsidRPr="009A3E81">
              <w:t xml:space="preserve"> 35.96% in favour of men.</w:t>
            </w:r>
          </w:p>
          <w:p w14:paraId="6CB373B8" w14:textId="77777777" w:rsidR="009A3E81" w:rsidRPr="009A3E81" w:rsidRDefault="009A3E81" w:rsidP="00B471C4">
            <w:pPr>
              <w:numPr>
                <w:ilvl w:val="0"/>
                <w:numId w:val="10"/>
              </w:numPr>
              <w:spacing w:before="100" w:beforeAutospacing="1" w:after="100" w:afterAutospacing="1"/>
              <w:jc w:val="both"/>
            </w:pPr>
            <w:r w:rsidRPr="009A3E81">
              <w:rPr>
                <w:b/>
                <w:bCs/>
              </w:rPr>
              <w:t>Median Bonus Gap:</w:t>
            </w:r>
            <w:r w:rsidRPr="009A3E81">
              <w:t xml:space="preserve"> 96.19% in favour of men.</w:t>
            </w:r>
          </w:p>
          <w:p w14:paraId="3B6B4C8F" w14:textId="7CD9A93A" w:rsidR="009A3E81" w:rsidRPr="009A3E81" w:rsidRDefault="009A3E81" w:rsidP="009A3E81">
            <w:pPr>
              <w:spacing w:before="100" w:beforeAutospacing="1" w:after="100" w:afterAutospacing="1"/>
              <w:jc w:val="both"/>
            </w:pPr>
            <w:r w:rsidRPr="009A3E81">
              <w:t xml:space="preserve">The significant disparity in bonus pay reflects the higher number of </w:t>
            </w:r>
            <w:r w:rsidR="0000415B">
              <w:t xml:space="preserve">senior </w:t>
            </w:r>
            <w:r w:rsidRPr="009A3E81">
              <w:t>male consultants within the Trust. As CEAs are awarded primarily to consultant-level colleagues, and men make up the majority of this group, this drives a wide bonus pay gap. As in previous years, CEAs were distributed equally among consultants who met the criteria. Nationally negotiated changes mean that the current CEA scheme will not continue in its existing form in future years.</w:t>
            </w:r>
          </w:p>
          <w:p w14:paraId="200D87D9" w14:textId="77777777" w:rsidR="009A3E81" w:rsidRPr="009A3E81" w:rsidRDefault="009A3E81" w:rsidP="009A3E81">
            <w:pPr>
              <w:spacing w:before="100" w:beforeAutospacing="1" w:after="100" w:afterAutospacing="1"/>
              <w:jc w:val="both"/>
              <w:rPr>
                <w:b/>
                <w:bCs/>
              </w:rPr>
            </w:pPr>
            <w:r w:rsidRPr="009A3E81">
              <w:rPr>
                <w:b/>
                <w:bCs/>
              </w:rPr>
              <w:t>5. Comparison in the Gender Pay Gap</w:t>
            </w:r>
          </w:p>
          <w:p w14:paraId="4221633A" w14:textId="768A8089" w:rsidR="009A3E81" w:rsidRPr="009A3E81" w:rsidRDefault="009A3E81" w:rsidP="00B471C4">
            <w:pPr>
              <w:numPr>
                <w:ilvl w:val="0"/>
                <w:numId w:val="10"/>
              </w:numPr>
              <w:spacing w:before="100" w:beforeAutospacing="1" w:after="100" w:afterAutospacing="1"/>
              <w:jc w:val="both"/>
            </w:pPr>
            <w:r w:rsidRPr="009A3E81">
              <w:rPr>
                <w:b/>
                <w:bCs/>
              </w:rPr>
              <w:t>Mean Pay Gap:</w:t>
            </w:r>
            <w:r w:rsidRPr="009A3E81">
              <w:t xml:space="preserve"> Highlights the overall difference in earnings</w:t>
            </w:r>
            <w:r w:rsidR="00E152B7">
              <w:t xml:space="preserve"> between genders,</w:t>
            </w:r>
            <w:r w:rsidRPr="009A3E81">
              <w:t xml:space="preserve"> </w:t>
            </w:r>
            <w:r w:rsidR="0000415B">
              <w:t>however  this</w:t>
            </w:r>
            <w:r w:rsidRPr="009A3E81">
              <w:t xml:space="preserve"> can be influenced by a small number of highly paid individuals, such as senior male consultants</w:t>
            </w:r>
            <w:r w:rsidR="00E152B7">
              <w:t xml:space="preserve"> as evidenced in the 2025 DBTH workforce data</w:t>
            </w:r>
            <w:r w:rsidRPr="009A3E81">
              <w:t>.</w:t>
            </w:r>
          </w:p>
          <w:p w14:paraId="15E88848" w14:textId="454F25AC" w:rsidR="009A3E81" w:rsidRPr="009A3E81" w:rsidRDefault="009A3E81" w:rsidP="00B471C4">
            <w:pPr>
              <w:numPr>
                <w:ilvl w:val="0"/>
                <w:numId w:val="10"/>
              </w:numPr>
              <w:spacing w:before="100" w:beforeAutospacing="1" w:after="100" w:afterAutospacing="1"/>
              <w:jc w:val="both"/>
            </w:pPr>
            <w:r w:rsidRPr="009A3E81">
              <w:rPr>
                <w:b/>
                <w:bCs/>
              </w:rPr>
              <w:t>Median Pay Gap:</w:t>
            </w:r>
            <w:r w:rsidRPr="009A3E81">
              <w:t xml:space="preserve"> Reflects the </w:t>
            </w:r>
            <w:r w:rsidR="004F3CE8">
              <w:t xml:space="preserve">workforce data </w:t>
            </w:r>
            <w:r w:rsidR="0000415B" w:rsidRPr="009A3E81">
              <w:t>more</w:t>
            </w:r>
            <w:r w:rsidRPr="009A3E81">
              <w:t xml:space="preserve"> accurately and therefore gives a clearer picture of everyday pay disparity.</w:t>
            </w:r>
          </w:p>
          <w:p w14:paraId="14C0EE54" w14:textId="20EC89E5" w:rsidR="009A3E81" w:rsidRPr="00465321" w:rsidRDefault="00B85F7D" w:rsidP="00B85F7D">
            <w:pPr>
              <w:spacing w:before="100" w:beforeAutospacing="1" w:after="100" w:afterAutospacing="1"/>
              <w:jc w:val="both"/>
            </w:pPr>
            <w:r w:rsidRPr="00465321">
              <w:t xml:space="preserve">There has been a reduction in both the mean and median gender pay gaps when compared with the previous reporting year. The mean gender pay gap has reduced from 37.6% in 2024 to 34.63% in 2025, representing a reduction of approximately 3 percentage points. The median gender pay gap has also reduced from </w:t>
            </w:r>
            <w:r w:rsidR="00465321" w:rsidRPr="00465321">
              <w:t>29.4% in March 2024 to 24.35% in March 2025.</w:t>
            </w:r>
            <w:r w:rsidR="00517BED">
              <w:t xml:space="preserve"> </w:t>
            </w:r>
            <w:r w:rsidR="00517BED" w:rsidRPr="00517BED">
              <w:t xml:space="preserve">a reduction of just over 5 percentage points </w:t>
            </w:r>
            <w:r w:rsidR="00517BED">
              <w:t>from last</w:t>
            </w:r>
            <w:r w:rsidR="00517BED" w:rsidRPr="00517BED">
              <w:t xml:space="preserve"> year.</w:t>
            </w:r>
          </w:p>
          <w:p w14:paraId="00976E64" w14:textId="77777777" w:rsidR="009A3E81" w:rsidRPr="009A3E81" w:rsidRDefault="009A3E81" w:rsidP="009A3E81">
            <w:pPr>
              <w:spacing w:before="100" w:beforeAutospacing="1" w:after="100" w:afterAutospacing="1"/>
              <w:jc w:val="both"/>
              <w:rPr>
                <w:b/>
                <w:bCs/>
              </w:rPr>
            </w:pPr>
            <w:r w:rsidRPr="009A3E81">
              <w:rPr>
                <w:b/>
                <w:bCs/>
              </w:rPr>
              <w:t>6. Actions to Address the Gender Pay Gap</w:t>
            </w:r>
          </w:p>
          <w:p w14:paraId="4C729F49" w14:textId="77777777" w:rsidR="009A3E81" w:rsidRPr="009A3E81" w:rsidRDefault="009A3E81" w:rsidP="009A3E81">
            <w:pPr>
              <w:spacing w:before="100" w:beforeAutospacing="1" w:after="100" w:afterAutospacing="1"/>
              <w:jc w:val="both"/>
            </w:pPr>
            <w:r w:rsidRPr="009A3E81">
              <w:t>To address the gender pay gap, the Trust continues to implement strategies aimed at fostering workplace equity. These include:</w:t>
            </w:r>
          </w:p>
          <w:p w14:paraId="64558CC2" w14:textId="77777777" w:rsidR="009A3E81" w:rsidRPr="009A3E81" w:rsidRDefault="009A3E81" w:rsidP="00B471C4">
            <w:pPr>
              <w:numPr>
                <w:ilvl w:val="0"/>
                <w:numId w:val="10"/>
              </w:numPr>
              <w:spacing w:before="100" w:beforeAutospacing="1" w:after="100" w:afterAutospacing="1"/>
              <w:jc w:val="both"/>
            </w:pPr>
            <w:r w:rsidRPr="009A3E81">
              <w:t>Promoting flexible working practices.</w:t>
            </w:r>
          </w:p>
          <w:p w14:paraId="4105E098" w14:textId="611B9EE1" w:rsidR="009A3E81" w:rsidRPr="009A3E81" w:rsidRDefault="009A3E81" w:rsidP="00B471C4">
            <w:pPr>
              <w:numPr>
                <w:ilvl w:val="0"/>
                <w:numId w:val="10"/>
              </w:numPr>
              <w:spacing w:before="100" w:beforeAutospacing="1" w:after="100" w:afterAutospacing="1"/>
              <w:jc w:val="both"/>
            </w:pPr>
            <w:r w:rsidRPr="009A3E81">
              <w:t>Enhancing support for colleagues experiencing menopause</w:t>
            </w:r>
            <w:r w:rsidR="0000415B">
              <w:t xml:space="preserve"> and raising awareness with managers and colleagues.</w:t>
            </w:r>
          </w:p>
          <w:p w14:paraId="1985F333" w14:textId="77777777" w:rsidR="009A3E81" w:rsidRDefault="009A3E81" w:rsidP="00B471C4">
            <w:pPr>
              <w:numPr>
                <w:ilvl w:val="0"/>
                <w:numId w:val="10"/>
              </w:numPr>
              <w:spacing w:before="100" w:beforeAutospacing="1" w:after="100" w:afterAutospacing="1"/>
              <w:jc w:val="both"/>
            </w:pPr>
            <w:r w:rsidRPr="009A3E81">
              <w:t>Advancing initiatives designed to improve gender diversity in leadership roles.</w:t>
            </w:r>
          </w:p>
          <w:p w14:paraId="2F859CCC" w14:textId="693BF954" w:rsidR="0000415B" w:rsidRDefault="0000415B" w:rsidP="00B471C4">
            <w:pPr>
              <w:numPr>
                <w:ilvl w:val="0"/>
                <w:numId w:val="10"/>
              </w:numPr>
              <w:spacing w:before="100" w:beforeAutospacing="1" w:after="100" w:afterAutospacing="1"/>
              <w:jc w:val="both"/>
            </w:pPr>
            <w:r>
              <w:t>Scope for Growth career conversations</w:t>
            </w:r>
          </w:p>
          <w:p w14:paraId="7FD6D2A1" w14:textId="7BAAF9D2" w:rsidR="001224B7" w:rsidRPr="009A3E81" w:rsidRDefault="001224B7" w:rsidP="00B471C4">
            <w:pPr>
              <w:numPr>
                <w:ilvl w:val="0"/>
                <w:numId w:val="10"/>
              </w:numPr>
              <w:spacing w:before="100" w:beforeAutospacing="1" w:after="100" w:afterAutospacing="1"/>
              <w:jc w:val="both"/>
            </w:pPr>
            <w:r w:rsidRPr="009A3E81">
              <w:t>EDI high-level improvement plan under High-Level Action 3 – Develop and implement an improvement plan to eliminate pay gaps.</w:t>
            </w:r>
          </w:p>
          <w:p w14:paraId="3321EEE1" w14:textId="32D943ED" w:rsidR="009A3E81" w:rsidRPr="009A3E81" w:rsidRDefault="009A3E81" w:rsidP="009A3E81">
            <w:pPr>
              <w:spacing w:before="100" w:beforeAutospacing="1" w:after="100" w:afterAutospacing="1"/>
              <w:jc w:val="both"/>
            </w:pPr>
            <w:r w:rsidRPr="009A3E81">
              <w:t>These efforts support a more inclusive workplace culture for all colleagues</w:t>
            </w:r>
            <w:r w:rsidR="0000415B">
              <w:t xml:space="preserve">. </w:t>
            </w:r>
            <w:r w:rsidRPr="009A3E81">
              <w:t>A key focus of these initiatives is making senior positions more accessible to women. This is achieved through encouraging flexible job arrangements and expanding access to leadership development opportunities open to all colleagues, designed to strengthen leadership capability and support career progression. These include:</w:t>
            </w:r>
          </w:p>
          <w:p w14:paraId="37D60362" w14:textId="77777777" w:rsidR="009A3E81" w:rsidRPr="00CF2692" w:rsidRDefault="009A3E81" w:rsidP="00B471C4">
            <w:pPr>
              <w:numPr>
                <w:ilvl w:val="0"/>
                <w:numId w:val="10"/>
              </w:numPr>
              <w:spacing w:before="100" w:beforeAutospacing="1" w:after="100" w:afterAutospacing="1"/>
              <w:jc w:val="both"/>
            </w:pPr>
            <w:r w:rsidRPr="00B85F7D">
              <w:t>Board Development Delegate Programme</w:t>
            </w:r>
            <w:r w:rsidRPr="00CF2692">
              <w:t xml:space="preserve"> – aimed at increasing diversity in leadership.</w:t>
            </w:r>
          </w:p>
          <w:p w14:paraId="284C91AE" w14:textId="77777777" w:rsidR="009A3E81" w:rsidRPr="00CF2692" w:rsidRDefault="009A3E81" w:rsidP="00B471C4">
            <w:pPr>
              <w:numPr>
                <w:ilvl w:val="0"/>
                <w:numId w:val="10"/>
              </w:numPr>
              <w:spacing w:before="100" w:beforeAutospacing="1" w:after="100" w:afterAutospacing="1"/>
              <w:jc w:val="both"/>
            </w:pPr>
            <w:r w:rsidRPr="00B85F7D">
              <w:t>Reciprocal Mentoring Programme</w:t>
            </w:r>
            <w:r w:rsidRPr="00CF2692">
              <w:t xml:space="preserve"> – where the majority of aspiring leaders are women.</w:t>
            </w:r>
          </w:p>
          <w:p w14:paraId="454EA810" w14:textId="4EA1D887" w:rsidR="0067501A" w:rsidRPr="00B85F7D" w:rsidRDefault="00737D17" w:rsidP="00B471C4">
            <w:pPr>
              <w:numPr>
                <w:ilvl w:val="0"/>
                <w:numId w:val="10"/>
              </w:numPr>
              <w:spacing w:before="100" w:beforeAutospacing="1" w:after="100" w:afterAutospacing="1"/>
              <w:jc w:val="both"/>
            </w:pPr>
            <w:r w:rsidRPr="00B85F7D">
              <w:t xml:space="preserve">As of Dec 2025, </w:t>
            </w:r>
            <w:r w:rsidR="0000415B">
              <w:t>36 of</w:t>
            </w:r>
            <w:r w:rsidRPr="00B85F7D">
              <w:t xml:space="preserve"> the 49 people on leadership &amp; Management </w:t>
            </w:r>
            <w:r w:rsidR="0000415B">
              <w:t>a</w:t>
            </w:r>
            <w:r w:rsidR="0067501A" w:rsidRPr="00B85F7D">
              <w:t>pprenticeships</w:t>
            </w:r>
            <w:r w:rsidRPr="00B85F7D">
              <w:t xml:space="preserve"> are women.</w:t>
            </w:r>
          </w:p>
          <w:p w14:paraId="1C7D9A34" w14:textId="5B02D5AF" w:rsidR="009A3E81" w:rsidRPr="009A3E81" w:rsidRDefault="009A3E81" w:rsidP="009A3E81">
            <w:pPr>
              <w:spacing w:before="100" w:beforeAutospacing="1" w:after="100" w:afterAutospacing="1"/>
              <w:jc w:val="both"/>
            </w:pPr>
            <w:r w:rsidRPr="009A3E81">
              <w:t xml:space="preserve">These </w:t>
            </w:r>
            <w:r w:rsidR="00737D17">
              <w:t>initiatives</w:t>
            </w:r>
            <w:r w:rsidR="00737D17" w:rsidRPr="009A3E81">
              <w:t xml:space="preserve"> </w:t>
            </w:r>
            <w:r w:rsidRPr="009A3E81">
              <w:t xml:space="preserve">are crucial in ensuring that talent and potential are not hindered by structural or cultural barriers. The South Yorkshire Women’s Network </w:t>
            </w:r>
            <w:r w:rsidR="00847946">
              <w:t xml:space="preserve">also </w:t>
            </w:r>
            <w:r w:rsidRPr="009A3E81">
              <w:t>provides a space for professional growth, peer support, and increased visibility, while addressing challenges and inequalities faced by women in the workplace.</w:t>
            </w:r>
          </w:p>
          <w:p w14:paraId="19917623" w14:textId="3370B123" w:rsidR="009A3E81" w:rsidRPr="00B85F7D" w:rsidRDefault="009A3E81" w:rsidP="009A3E81">
            <w:pPr>
              <w:spacing w:before="100" w:beforeAutospacing="1" w:after="100" w:afterAutospacing="1"/>
              <w:jc w:val="both"/>
              <w:rPr>
                <w:strike/>
              </w:rPr>
            </w:pPr>
            <w:r w:rsidRPr="009A3E81">
              <w:t xml:space="preserve">To drive progress, the Trust has established clear goals, benchmarks, and accountability mechanisms, all of which are outlined within the DBTH </w:t>
            </w:r>
            <w:r w:rsidR="00CF2692" w:rsidRPr="009A3E81">
              <w:t xml:space="preserve">ED&amp;I high-level improvement plan under High-Level Action 3 – Develop and implement an improvement plan to eliminate pay gaps. </w:t>
            </w:r>
          </w:p>
          <w:p w14:paraId="204B0643" w14:textId="77777777" w:rsidR="009A3E81" w:rsidRPr="009A3E81" w:rsidRDefault="009A3E81" w:rsidP="009A3E81">
            <w:pPr>
              <w:spacing w:before="100" w:beforeAutospacing="1" w:after="100" w:afterAutospacing="1"/>
              <w:jc w:val="both"/>
              <w:rPr>
                <w:b/>
                <w:bCs/>
              </w:rPr>
            </w:pPr>
            <w:r w:rsidRPr="009A3E81">
              <w:rPr>
                <w:b/>
                <w:bCs/>
              </w:rPr>
              <w:t>7. Publication Requirement</w:t>
            </w:r>
          </w:p>
          <w:p w14:paraId="79BC436F" w14:textId="19DB5EF0" w:rsidR="00817F6D" w:rsidRDefault="009A3E81" w:rsidP="00847946">
            <w:pPr>
              <w:spacing w:before="100" w:beforeAutospacing="1" w:after="100" w:afterAutospacing="1"/>
              <w:jc w:val="both"/>
            </w:pPr>
            <w:r w:rsidRPr="009A3E81">
              <w:t xml:space="preserve">The Gender Pay Gap Report must be published on the UK Government portal by 31 March 2026, demonstrating the Trust’s commitment to accountability and transparency. The Executive Team is asked to support this publication, and </w:t>
            </w:r>
            <w:r w:rsidR="00847946">
              <w:t>the People Committee will also be briefed at the next meeting in April 2026.</w:t>
            </w:r>
            <w:r w:rsidR="00847946">
              <w:br/>
            </w:r>
          </w:p>
        </w:tc>
      </w:tr>
      <w:tr w:rsidR="00C26A06" w14:paraId="4230F691" w14:textId="77777777" w:rsidTr="00287413">
        <w:trPr>
          <w:trHeight w:val="556"/>
        </w:trPr>
        <w:tc>
          <w:tcPr>
            <w:tcW w:w="1975" w:type="dxa"/>
          </w:tcPr>
          <w:p w14:paraId="66502ECB" w14:textId="39E94284" w:rsidR="00C26A06" w:rsidRPr="00113046" w:rsidRDefault="00C26A06" w:rsidP="00D56332">
            <w:pPr>
              <w:rPr>
                <w:b/>
              </w:rPr>
            </w:pPr>
            <w:r w:rsidRPr="00113046">
              <w:rPr>
                <w:b/>
              </w:rPr>
              <w:t>Recommendation</w:t>
            </w:r>
            <w:r w:rsidR="00D56332">
              <w:rPr>
                <w:b/>
              </w:rPr>
              <w:t xml:space="preserve"> to Execs</w:t>
            </w:r>
            <w:r w:rsidRPr="00113046">
              <w:rPr>
                <w:b/>
              </w:rPr>
              <w:t>:</w:t>
            </w:r>
          </w:p>
        </w:tc>
        <w:tc>
          <w:tcPr>
            <w:tcW w:w="7801" w:type="dxa"/>
          </w:tcPr>
          <w:p w14:paraId="2D2010CB" w14:textId="6C591058" w:rsidR="00287413" w:rsidRPr="009A0FFC" w:rsidRDefault="009A0FFC" w:rsidP="009A0FFC">
            <w:pPr>
              <w:autoSpaceDE w:val="0"/>
              <w:autoSpaceDN w:val="0"/>
              <w:adjustRightInd w:val="0"/>
            </w:pPr>
            <w:r>
              <w:t xml:space="preserve">The </w:t>
            </w:r>
            <w:r w:rsidRPr="009A0FFC">
              <w:t xml:space="preserve">Committee is asked to note the contents of the report and </w:t>
            </w:r>
            <w:r w:rsidR="00847946">
              <w:t>support the publication of the gender pay gap report by 31 March 2026</w:t>
            </w:r>
          </w:p>
        </w:tc>
      </w:tr>
      <w:tr w:rsidR="005152DB" w14:paraId="3E7441B2" w14:textId="77777777">
        <w:tc>
          <w:tcPr>
            <w:tcW w:w="1975" w:type="dxa"/>
          </w:tcPr>
          <w:p w14:paraId="6B6FE2B4" w14:textId="501DE2E7" w:rsidR="005152DB" w:rsidRPr="00D316AA" w:rsidRDefault="005152DB" w:rsidP="005152DB">
            <w:pPr>
              <w:rPr>
                <w:b/>
                <w:sz w:val="20"/>
                <w:szCs w:val="20"/>
              </w:rPr>
            </w:pPr>
            <w:r w:rsidRPr="00113046">
              <w:rPr>
                <w:b/>
              </w:rPr>
              <w:t>Action:</w:t>
            </w:r>
            <w:r>
              <w:rPr>
                <w:b/>
              </w:rPr>
              <w:t xml:space="preserve"> Decision/ discuss/assurance</w:t>
            </w:r>
          </w:p>
        </w:tc>
        <w:tc>
          <w:tcPr>
            <w:tcW w:w="7801" w:type="dxa"/>
            <w:vAlign w:val="center"/>
          </w:tcPr>
          <w:p w14:paraId="4B814FA5" w14:textId="0AE47B12" w:rsidR="005152DB" w:rsidRPr="005152DB" w:rsidRDefault="00847946" w:rsidP="005152DB">
            <w:pPr>
              <w:rPr>
                <w:b/>
                <w:bCs/>
              </w:rPr>
            </w:pPr>
            <w:r>
              <w:rPr>
                <w:b/>
                <w:bCs/>
              </w:rPr>
              <w:t xml:space="preserve">Decision </w:t>
            </w:r>
          </w:p>
        </w:tc>
      </w:tr>
      <w:tr w:rsidR="00FF50BA" w14:paraId="6811515D" w14:textId="77777777" w:rsidTr="00FF50BA">
        <w:trPr>
          <w:trHeight w:val="343"/>
        </w:trPr>
        <w:tc>
          <w:tcPr>
            <w:tcW w:w="9776" w:type="dxa"/>
            <w:gridSpan w:val="2"/>
            <w:shd w:val="clear" w:color="auto" w:fill="95B3D7" w:themeFill="accent1" w:themeFillTint="99"/>
          </w:tcPr>
          <w:p w14:paraId="38FD4A1F" w14:textId="5E5EDCC7" w:rsidR="00FF50BA" w:rsidRPr="00FF50BA" w:rsidRDefault="00FF50BA" w:rsidP="00FF50BA">
            <w:pPr>
              <w:jc w:val="center"/>
              <w:rPr>
                <w:b/>
                <w:sz w:val="24"/>
                <w:szCs w:val="24"/>
              </w:rPr>
            </w:pPr>
            <w:r w:rsidRPr="00FF50BA">
              <w:rPr>
                <w:b/>
                <w:sz w:val="24"/>
                <w:szCs w:val="24"/>
              </w:rPr>
              <w:t>Healthier together – delivering exceptional care for all</w:t>
            </w:r>
          </w:p>
        </w:tc>
      </w:tr>
      <w:tr w:rsidR="00113046" w14:paraId="28609EB7" w14:textId="77777777" w:rsidTr="00025125">
        <w:tc>
          <w:tcPr>
            <w:tcW w:w="9776" w:type="dxa"/>
            <w:gridSpan w:val="2"/>
            <w:shd w:val="clear" w:color="auto" w:fill="4F81BD"/>
          </w:tcPr>
          <w:p w14:paraId="43721F81" w14:textId="77777777" w:rsidR="003E5AD2" w:rsidRDefault="005152DB" w:rsidP="00113046">
            <w:pPr>
              <w:spacing w:line="276" w:lineRule="auto"/>
              <w:jc w:val="center"/>
              <w:rPr>
                <w:bCs/>
                <w:i/>
                <w:iCs/>
                <w:color w:val="A6A6A6" w:themeColor="background1" w:themeShade="A6"/>
              </w:rPr>
            </w:pPr>
            <w:r>
              <w:rPr>
                <w:b/>
                <w:color w:val="FFFFFF" w:themeColor="background1"/>
              </w:rPr>
              <w:t xml:space="preserve">Strategic </w:t>
            </w:r>
            <w:r w:rsidR="00113046">
              <w:rPr>
                <w:b/>
                <w:color w:val="FFFFFF" w:themeColor="background1"/>
              </w:rPr>
              <w:t>Implications</w:t>
            </w:r>
            <w:r w:rsidR="003E5AD2">
              <w:rPr>
                <w:bCs/>
                <w:i/>
                <w:iCs/>
                <w:color w:val="A6A6A6" w:themeColor="background1" w:themeShade="A6"/>
              </w:rPr>
              <w:t xml:space="preserve"> </w:t>
            </w:r>
          </w:p>
          <w:p w14:paraId="43AEEA55" w14:textId="60005FCE" w:rsidR="00113046" w:rsidRPr="00D56332" w:rsidRDefault="003E5AD2" w:rsidP="00113046">
            <w:pPr>
              <w:spacing w:line="276" w:lineRule="auto"/>
              <w:jc w:val="center"/>
              <w:rPr>
                <w:bCs/>
                <w:i/>
                <w:iCs/>
                <w:color w:val="FFFFFF" w:themeColor="background1"/>
              </w:rPr>
            </w:pPr>
            <w:r>
              <w:rPr>
                <w:bCs/>
                <w:i/>
                <w:iCs/>
                <w:color w:val="A6A6A6" w:themeColor="background1" w:themeShade="A6"/>
              </w:rPr>
              <w:t>What is the issue this is addressing / mitigating, and i</w:t>
            </w:r>
            <w:r w:rsidRPr="00D56332">
              <w:rPr>
                <w:bCs/>
                <w:i/>
                <w:iCs/>
                <w:color w:val="A6A6A6" w:themeColor="background1" w:themeShade="A6"/>
              </w:rPr>
              <w:t>f it’s not related to one of these – should it be here?</w:t>
            </w:r>
          </w:p>
        </w:tc>
      </w:tr>
      <w:tr w:rsidR="00D31FE1" w14:paraId="79509296" w14:textId="77777777" w:rsidTr="004B2A93">
        <w:trPr>
          <w:trHeight w:val="484"/>
        </w:trPr>
        <w:tc>
          <w:tcPr>
            <w:tcW w:w="1975" w:type="dxa"/>
            <w:vAlign w:val="center"/>
          </w:tcPr>
          <w:p w14:paraId="00DB1547" w14:textId="0ED8C57F" w:rsidR="00D31FE1" w:rsidRPr="00D31FE1" w:rsidRDefault="00A77D24" w:rsidP="00A77D24">
            <w:pPr>
              <w:spacing w:line="360" w:lineRule="auto"/>
              <w:rPr>
                <w:b/>
                <w:bCs/>
                <w:color w:val="FF0000"/>
              </w:rPr>
            </w:pPr>
            <w:r w:rsidRPr="00A77D24">
              <w:rPr>
                <w:b/>
              </w:rPr>
              <w:t>Patients</w:t>
            </w:r>
          </w:p>
        </w:tc>
        <w:tc>
          <w:tcPr>
            <w:tcW w:w="7801" w:type="dxa"/>
            <w:vAlign w:val="center"/>
          </w:tcPr>
          <w:p w14:paraId="7BAA8891" w14:textId="77777777" w:rsidR="009A0FFC" w:rsidRPr="009A0FFC" w:rsidRDefault="009A0FFC" w:rsidP="009A0FFC">
            <w:r w:rsidRPr="009A0FFC">
              <w:t>Our workforce needs to be diverse and inclusive to ensure our delivery of care</w:t>
            </w:r>
          </w:p>
          <w:p w14:paraId="50DAEA05" w14:textId="584627BF" w:rsidR="00D31FE1" w:rsidRPr="004B2A93" w:rsidRDefault="009A0FFC" w:rsidP="009A0FFC">
            <w:r w:rsidRPr="009A0FFC">
              <w:t>meets the needs and connects with people in the communities we serve</w:t>
            </w:r>
          </w:p>
        </w:tc>
      </w:tr>
      <w:tr w:rsidR="00D56332" w14:paraId="4EB6957A" w14:textId="77777777" w:rsidTr="00DA16C0">
        <w:tc>
          <w:tcPr>
            <w:tcW w:w="1975" w:type="dxa"/>
          </w:tcPr>
          <w:p w14:paraId="128466CD" w14:textId="2013BF28" w:rsidR="00D56332" w:rsidRPr="00113046" w:rsidRDefault="00D56332" w:rsidP="00D56332">
            <w:pPr>
              <w:spacing w:line="360" w:lineRule="auto"/>
              <w:rPr>
                <w:b/>
              </w:rPr>
            </w:pPr>
            <w:r>
              <w:rPr>
                <w:b/>
              </w:rPr>
              <w:t>People</w:t>
            </w:r>
          </w:p>
        </w:tc>
        <w:tc>
          <w:tcPr>
            <w:tcW w:w="7801" w:type="dxa"/>
          </w:tcPr>
          <w:p w14:paraId="1D2B34E0" w14:textId="77777777" w:rsidR="009A0FFC" w:rsidRPr="009A0FFC" w:rsidRDefault="009A0FFC" w:rsidP="009A0FFC">
            <w:r w:rsidRPr="009A0FFC">
              <w:t>Workforce processes, culture and the lived working experience must be in</w:t>
            </w:r>
          </w:p>
          <w:p w14:paraId="7C687753" w14:textId="1D98325E" w:rsidR="00D56332" w:rsidRPr="004B2A93" w:rsidRDefault="009A0FFC" w:rsidP="009A0FFC">
            <w:pPr>
              <w:rPr>
                <w:b/>
                <w:bCs/>
              </w:rPr>
            </w:pPr>
            <w:r w:rsidRPr="009A0FFC">
              <w:t>alignment with the DBTH Way.</w:t>
            </w:r>
          </w:p>
        </w:tc>
      </w:tr>
      <w:tr w:rsidR="00D56332" w14:paraId="21809D8C" w14:textId="77777777" w:rsidTr="00DA16C0">
        <w:tc>
          <w:tcPr>
            <w:tcW w:w="1975" w:type="dxa"/>
          </w:tcPr>
          <w:p w14:paraId="4047EEB9" w14:textId="248EA99D" w:rsidR="00D56332" w:rsidRPr="00113046" w:rsidRDefault="00D56332" w:rsidP="00D56332">
            <w:pPr>
              <w:spacing w:line="360" w:lineRule="auto"/>
              <w:rPr>
                <w:b/>
              </w:rPr>
            </w:pPr>
            <w:r>
              <w:rPr>
                <w:b/>
              </w:rPr>
              <w:t>Pounds</w:t>
            </w:r>
          </w:p>
        </w:tc>
        <w:tc>
          <w:tcPr>
            <w:tcW w:w="7801" w:type="dxa"/>
          </w:tcPr>
          <w:p w14:paraId="27651E11" w14:textId="77777777" w:rsidR="009A0FFC" w:rsidRPr="009A0FFC" w:rsidRDefault="009A0FFC" w:rsidP="009A0FFC">
            <w:r w:rsidRPr="009A0FFC">
              <w:t>Our EDI improvement plan uses DBTH resources for education, training and</w:t>
            </w:r>
          </w:p>
          <w:p w14:paraId="229DF9B0" w14:textId="6D3F3875" w:rsidR="00D56332" w:rsidRPr="004B2A93" w:rsidRDefault="009A0FFC" w:rsidP="009A0FFC">
            <w:r w:rsidRPr="009A0FFC">
              <w:t>innovation in the first instance in driving the delivery of the plan.</w:t>
            </w:r>
          </w:p>
        </w:tc>
      </w:tr>
      <w:tr w:rsidR="00D56332" w14:paraId="71B10ED9" w14:textId="77777777" w:rsidTr="00DA16C0">
        <w:tc>
          <w:tcPr>
            <w:tcW w:w="1975" w:type="dxa"/>
          </w:tcPr>
          <w:p w14:paraId="5E28B7B5" w14:textId="061837ED" w:rsidR="00D56332" w:rsidRPr="00113046" w:rsidRDefault="00D56332" w:rsidP="00D56332">
            <w:pPr>
              <w:spacing w:line="360" w:lineRule="auto"/>
              <w:rPr>
                <w:b/>
              </w:rPr>
            </w:pPr>
            <w:r>
              <w:rPr>
                <w:b/>
              </w:rPr>
              <w:t>Partnerships</w:t>
            </w:r>
          </w:p>
        </w:tc>
        <w:tc>
          <w:tcPr>
            <w:tcW w:w="7801" w:type="dxa"/>
          </w:tcPr>
          <w:p w14:paraId="5B1C8F44" w14:textId="2676DB8E" w:rsidR="00D56332" w:rsidRPr="004B2A93" w:rsidRDefault="00986A7A" w:rsidP="00D56332">
            <w:r>
              <w:t>N\A</w:t>
            </w:r>
          </w:p>
        </w:tc>
      </w:tr>
      <w:tr w:rsidR="00D56332" w14:paraId="40D99B10" w14:textId="77777777" w:rsidTr="00DA16C0">
        <w:tc>
          <w:tcPr>
            <w:tcW w:w="1975" w:type="dxa"/>
          </w:tcPr>
          <w:p w14:paraId="4D913991" w14:textId="12FB0967" w:rsidR="00D56332" w:rsidRPr="00113046" w:rsidRDefault="00D56332" w:rsidP="00D56332">
            <w:pPr>
              <w:spacing w:line="360" w:lineRule="auto"/>
              <w:rPr>
                <w:b/>
              </w:rPr>
            </w:pPr>
            <w:r w:rsidRPr="00113046">
              <w:rPr>
                <w:b/>
              </w:rPr>
              <w:t>Lega</w:t>
            </w:r>
            <w:r>
              <w:rPr>
                <w:b/>
              </w:rPr>
              <w:t>l/</w:t>
            </w:r>
            <w:r w:rsidRPr="00113046">
              <w:rPr>
                <w:b/>
              </w:rPr>
              <w:t xml:space="preserve"> Regulation:</w:t>
            </w:r>
          </w:p>
        </w:tc>
        <w:tc>
          <w:tcPr>
            <w:tcW w:w="7801" w:type="dxa"/>
          </w:tcPr>
          <w:p w14:paraId="575A5E1E" w14:textId="33836A71" w:rsidR="00D56332" w:rsidRPr="004B2A93" w:rsidRDefault="00986A7A" w:rsidP="00D56332">
            <w:r>
              <w:t>Gender Pay Gap regulations</w:t>
            </w:r>
            <w:r w:rsidR="009A0FFC">
              <w:t>\Equality Act 2010</w:t>
            </w:r>
          </w:p>
        </w:tc>
      </w:tr>
      <w:tr w:rsidR="004B2A93" w14:paraId="6725F2F0" w14:textId="77777777" w:rsidTr="00025125">
        <w:tc>
          <w:tcPr>
            <w:tcW w:w="9776" w:type="dxa"/>
            <w:gridSpan w:val="2"/>
            <w:shd w:val="clear" w:color="auto" w:fill="4F81BD"/>
          </w:tcPr>
          <w:p w14:paraId="771E7972" w14:textId="4691960B" w:rsidR="004B2A93" w:rsidRPr="00113046" w:rsidRDefault="004B2A93" w:rsidP="004B2A93">
            <w:pPr>
              <w:spacing w:line="276" w:lineRule="auto"/>
              <w:jc w:val="center"/>
              <w:rPr>
                <w:b/>
                <w:color w:val="FFFFFF" w:themeColor="background1"/>
              </w:rPr>
            </w:pPr>
          </w:p>
        </w:tc>
      </w:tr>
    </w:tbl>
    <w:p w14:paraId="1FF49619" w14:textId="77777777" w:rsidR="00275484" w:rsidRDefault="00275484"/>
    <w:p w14:paraId="767E9C38" w14:textId="77777777" w:rsidR="00C8623F" w:rsidRDefault="00C8623F" w:rsidP="00C8623F"/>
    <w:p w14:paraId="049BA4E3" w14:textId="4CE02B1E" w:rsidR="00C8623F" w:rsidRDefault="00C8623F" w:rsidP="00C8623F">
      <w:pPr>
        <w:tabs>
          <w:tab w:val="left" w:pos="5590"/>
        </w:tabs>
      </w:pPr>
      <w:r>
        <w:tab/>
      </w:r>
    </w:p>
    <w:p w14:paraId="2520FFB7" w14:textId="4EE30779" w:rsidR="006861C1" w:rsidRPr="009B18CB" w:rsidRDefault="00C8623F" w:rsidP="00C8623F">
      <w:pPr>
        <w:tabs>
          <w:tab w:val="left" w:pos="5590"/>
        </w:tabs>
      </w:pPr>
      <w:r>
        <w:tab/>
      </w:r>
    </w:p>
    <w:sectPr w:rsidR="006861C1" w:rsidRPr="009B18CB" w:rsidSect="00AB5A99">
      <w:footerReference w:type="default" r:id="rId9"/>
      <w:pgSz w:w="11906" w:h="16838"/>
      <w:pgMar w:top="1135" w:right="1080" w:bottom="1134"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B73D0" w14:textId="77777777" w:rsidR="006638D1" w:rsidRDefault="006638D1" w:rsidP="00275484">
      <w:pPr>
        <w:spacing w:after="0" w:line="240" w:lineRule="auto"/>
      </w:pPr>
      <w:r>
        <w:separator/>
      </w:r>
    </w:p>
  </w:endnote>
  <w:endnote w:type="continuationSeparator" w:id="0">
    <w:p w14:paraId="17AA71BA" w14:textId="77777777" w:rsidR="006638D1" w:rsidRDefault="006638D1" w:rsidP="00275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248816235"/>
      <w:docPartObj>
        <w:docPartGallery w:val="Page Numbers (Bottom of Page)"/>
        <w:docPartUnique/>
      </w:docPartObj>
    </w:sdtPr>
    <w:sdtEndPr>
      <w:rPr>
        <w:color w:val="7F7F7F" w:themeColor="background1" w:themeShade="7F"/>
        <w:spacing w:val="60"/>
      </w:rPr>
    </w:sdtEndPr>
    <w:sdtContent>
      <w:p w14:paraId="29731E95" w14:textId="383A7FF9" w:rsidR="00C26256" w:rsidRPr="00C26256" w:rsidRDefault="00C26256">
        <w:pPr>
          <w:pStyle w:val="Footer"/>
          <w:pBdr>
            <w:top w:val="single" w:sz="4" w:space="1" w:color="D9D9D9" w:themeColor="background1" w:themeShade="D9"/>
          </w:pBdr>
          <w:jc w:val="right"/>
          <w:rPr>
            <w:rFonts w:cstheme="minorHAnsi"/>
          </w:rPr>
        </w:pPr>
        <w:r w:rsidRPr="00C26256">
          <w:rPr>
            <w:rFonts w:cstheme="minorHAnsi"/>
          </w:rPr>
          <w:fldChar w:fldCharType="begin"/>
        </w:r>
        <w:r w:rsidRPr="00C26256">
          <w:rPr>
            <w:rFonts w:cstheme="minorHAnsi"/>
          </w:rPr>
          <w:instrText xml:space="preserve"> PAGE   \* MERGEFORMAT </w:instrText>
        </w:r>
        <w:r w:rsidRPr="00C26256">
          <w:rPr>
            <w:rFonts w:cstheme="minorHAnsi"/>
          </w:rPr>
          <w:fldChar w:fldCharType="separate"/>
        </w:r>
        <w:r w:rsidR="009E5980">
          <w:rPr>
            <w:rFonts w:cstheme="minorHAnsi"/>
            <w:noProof/>
          </w:rPr>
          <w:t>1</w:t>
        </w:r>
        <w:r w:rsidRPr="00C26256">
          <w:rPr>
            <w:rFonts w:cstheme="minorHAnsi"/>
            <w:noProof/>
          </w:rPr>
          <w:fldChar w:fldCharType="end"/>
        </w:r>
        <w:r w:rsidRPr="00C26256">
          <w:rPr>
            <w:rFonts w:cstheme="minorHAnsi"/>
          </w:rPr>
          <w:t xml:space="preserve"> | </w:t>
        </w:r>
        <w:r w:rsidRPr="00C26256">
          <w:rPr>
            <w:rFonts w:cstheme="minorHAnsi"/>
            <w:color w:val="7F7F7F" w:themeColor="background1" w:themeShade="7F"/>
            <w:spacing w:val="60"/>
          </w:rPr>
          <w:t>Page</w:t>
        </w:r>
      </w:p>
    </w:sdtContent>
  </w:sdt>
  <w:p w14:paraId="71C537EB" w14:textId="77777777" w:rsidR="00275484" w:rsidRPr="00C26256" w:rsidRDefault="00275484">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2D758" w14:textId="77777777" w:rsidR="006638D1" w:rsidRDefault="006638D1" w:rsidP="00275484">
      <w:pPr>
        <w:spacing w:after="0" w:line="240" w:lineRule="auto"/>
      </w:pPr>
      <w:r>
        <w:separator/>
      </w:r>
    </w:p>
  </w:footnote>
  <w:footnote w:type="continuationSeparator" w:id="0">
    <w:p w14:paraId="4AB9270C" w14:textId="77777777" w:rsidR="006638D1" w:rsidRDefault="006638D1" w:rsidP="002754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CED"/>
    <w:multiLevelType w:val="hybridMultilevel"/>
    <w:tmpl w:val="B1C08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83BF2"/>
    <w:multiLevelType w:val="hybridMultilevel"/>
    <w:tmpl w:val="EF80CB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77002B"/>
    <w:multiLevelType w:val="hybridMultilevel"/>
    <w:tmpl w:val="D4A2D0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2C25A2"/>
    <w:multiLevelType w:val="multilevel"/>
    <w:tmpl w:val="EDE2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B2797"/>
    <w:multiLevelType w:val="multilevel"/>
    <w:tmpl w:val="F042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B97F14"/>
    <w:multiLevelType w:val="multilevel"/>
    <w:tmpl w:val="D334F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690319"/>
    <w:multiLevelType w:val="multilevel"/>
    <w:tmpl w:val="149CF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187196"/>
    <w:multiLevelType w:val="multilevel"/>
    <w:tmpl w:val="A8D2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DD7F42"/>
    <w:multiLevelType w:val="multilevel"/>
    <w:tmpl w:val="9D123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4531C6"/>
    <w:multiLevelType w:val="multilevel"/>
    <w:tmpl w:val="8A5C8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8E3AE0"/>
    <w:multiLevelType w:val="hybridMultilevel"/>
    <w:tmpl w:val="EBBAF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587B3D"/>
    <w:multiLevelType w:val="hybridMultilevel"/>
    <w:tmpl w:val="5CBE7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C4679C"/>
    <w:multiLevelType w:val="multilevel"/>
    <w:tmpl w:val="5720F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D939E5"/>
    <w:multiLevelType w:val="hybridMultilevel"/>
    <w:tmpl w:val="814A8A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09836859">
    <w:abstractNumId w:val="11"/>
  </w:num>
  <w:num w:numId="2" w16cid:durableId="613051025">
    <w:abstractNumId w:val="10"/>
  </w:num>
  <w:num w:numId="3" w16cid:durableId="945695331">
    <w:abstractNumId w:val="13"/>
  </w:num>
  <w:num w:numId="4" w16cid:durableId="1629581429">
    <w:abstractNumId w:val="1"/>
  </w:num>
  <w:num w:numId="5" w16cid:durableId="1481457370">
    <w:abstractNumId w:val="2"/>
  </w:num>
  <w:num w:numId="6" w16cid:durableId="1959795507">
    <w:abstractNumId w:val="3"/>
  </w:num>
  <w:num w:numId="7" w16cid:durableId="1369600456">
    <w:abstractNumId w:val="0"/>
  </w:num>
  <w:num w:numId="8" w16cid:durableId="924875687">
    <w:abstractNumId w:val="7"/>
  </w:num>
  <w:num w:numId="9" w16cid:durableId="2017531739">
    <w:abstractNumId w:val="4"/>
  </w:num>
  <w:num w:numId="10" w16cid:durableId="1961296099">
    <w:abstractNumId w:val="8"/>
  </w:num>
  <w:num w:numId="11" w16cid:durableId="830604873">
    <w:abstractNumId w:val="6"/>
  </w:num>
  <w:num w:numId="12" w16cid:durableId="1318724925">
    <w:abstractNumId w:val="9"/>
  </w:num>
  <w:num w:numId="13" w16cid:durableId="1261454698">
    <w:abstractNumId w:val="12"/>
  </w:num>
  <w:num w:numId="14" w16cid:durableId="10174605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C21"/>
    <w:rsid w:val="0000415B"/>
    <w:rsid w:val="00006403"/>
    <w:rsid w:val="00007FAF"/>
    <w:rsid w:val="00011754"/>
    <w:rsid w:val="000244E4"/>
    <w:rsid w:val="00025125"/>
    <w:rsid w:val="0003448E"/>
    <w:rsid w:val="00057B47"/>
    <w:rsid w:val="00096EB5"/>
    <w:rsid w:val="000A35F5"/>
    <w:rsid w:val="000F6B97"/>
    <w:rsid w:val="00102868"/>
    <w:rsid w:val="001106E6"/>
    <w:rsid w:val="00110CC2"/>
    <w:rsid w:val="00111CF7"/>
    <w:rsid w:val="00113046"/>
    <w:rsid w:val="001224B7"/>
    <w:rsid w:val="00130441"/>
    <w:rsid w:val="00144BCA"/>
    <w:rsid w:val="00150F77"/>
    <w:rsid w:val="00195FE4"/>
    <w:rsid w:val="001A1C07"/>
    <w:rsid w:val="001A437B"/>
    <w:rsid w:val="001D1D78"/>
    <w:rsid w:val="001F0A28"/>
    <w:rsid w:val="001F156A"/>
    <w:rsid w:val="001F1AFC"/>
    <w:rsid w:val="00200917"/>
    <w:rsid w:val="00223C56"/>
    <w:rsid w:val="0022753D"/>
    <w:rsid w:val="0026276B"/>
    <w:rsid w:val="00275484"/>
    <w:rsid w:val="00284B79"/>
    <w:rsid w:val="00287413"/>
    <w:rsid w:val="00296DDA"/>
    <w:rsid w:val="002A2FAC"/>
    <w:rsid w:val="002B1428"/>
    <w:rsid w:val="002C24EB"/>
    <w:rsid w:val="002C377E"/>
    <w:rsid w:val="002C4C21"/>
    <w:rsid w:val="002C75CC"/>
    <w:rsid w:val="002E6921"/>
    <w:rsid w:val="002F50C7"/>
    <w:rsid w:val="00306466"/>
    <w:rsid w:val="003144F5"/>
    <w:rsid w:val="0034230C"/>
    <w:rsid w:val="0038358F"/>
    <w:rsid w:val="00397F25"/>
    <w:rsid w:val="003C13E7"/>
    <w:rsid w:val="003E1C1F"/>
    <w:rsid w:val="003E511C"/>
    <w:rsid w:val="003E5AD2"/>
    <w:rsid w:val="003F4740"/>
    <w:rsid w:val="00441584"/>
    <w:rsid w:val="00465321"/>
    <w:rsid w:val="004829DE"/>
    <w:rsid w:val="004967F0"/>
    <w:rsid w:val="004B2A93"/>
    <w:rsid w:val="004C616C"/>
    <w:rsid w:val="004D06C0"/>
    <w:rsid w:val="004D1B48"/>
    <w:rsid w:val="004D7767"/>
    <w:rsid w:val="004E64E4"/>
    <w:rsid w:val="004F0F0C"/>
    <w:rsid w:val="004F3CE8"/>
    <w:rsid w:val="004F60D2"/>
    <w:rsid w:val="00513687"/>
    <w:rsid w:val="005152DB"/>
    <w:rsid w:val="00517BED"/>
    <w:rsid w:val="00530B05"/>
    <w:rsid w:val="0054103C"/>
    <w:rsid w:val="00545E38"/>
    <w:rsid w:val="00554279"/>
    <w:rsid w:val="00587A9E"/>
    <w:rsid w:val="00591FD9"/>
    <w:rsid w:val="005932CE"/>
    <w:rsid w:val="005B658F"/>
    <w:rsid w:val="005D12C6"/>
    <w:rsid w:val="005E4265"/>
    <w:rsid w:val="006147E5"/>
    <w:rsid w:val="00623108"/>
    <w:rsid w:val="00632472"/>
    <w:rsid w:val="006355E7"/>
    <w:rsid w:val="006638D1"/>
    <w:rsid w:val="006746BB"/>
    <w:rsid w:val="0067501A"/>
    <w:rsid w:val="006861C1"/>
    <w:rsid w:val="00691AD1"/>
    <w:rsid w:val="006B0211"/>
    <w:rsid w:val="006B122D"/>
    <w:rsid w:val="006E7D33"/>
    <w:rsid w:val="00707FA5"/>
    <w:rsid w:val="007132DB"/>
    <w:rsid w:val="00724355"/>
    <w:rsid w:val="00730D38"/>
    <w:rsid w:val="00737D17"/>
    <w:rsid w:val="007430F2"/>
    <w:rsid w:val="00752CBD"/>
    <w:rsid w:val="007606A3"/>
    <w:rsid w:val="00781CB7"/>
    <w:rsid w:val="0079445C"/>
    <w:rsid w:val="007A24C2"/>
    <w:rsid w:val="007D3EE0"/>
    <w:rsid w:val="007E36B0"/>
    <w:rsid w:val="007F0BDF"/>
    <w:rsid w:val="007F1749"/>
    <w:rsid w:val="00810409"/>
    <w:rsid w:val="008162B3"/>
    <w:rsid w:val="00817F6D"/>
    <w:rsid w:val="00821126"/>
    <w:rsid w:val="00831033"/>
    <w:rsid w:val="00831814"/>
    <w:rsid w:val="0084660B"/>
    <w:rsid w:val="00847946"/>
    <w:rsid w:val="00855F80"/>
    <w:rsid w:val="008621A4"/>
    <w:rsid w:val="00863102"/>
    <w:rsid w:val="00865F94"/>
    <w:rsid w:val="008677EA"/>
    <w:rsid w:val="00871584"/>
    <w:rsid w:val="00872859"/>
    <w:rsid w:val="00882B34"/>
    <w:rsid w:val="00883755"/>
    <w:rsid w:val="008A0270"/>
    <w:rsid w:val="008A0EE1"/>
    <w:rsid w:val="008A7CDF"/>
    <w:rsid w:val="008B2D1A"/>
    <w:rsid w:val="008B4577"/>
    <w:rsid w:val="008E6D20"/>
    <w:rsid w:val="008F63A0"/>
    <w:rsid w:val="00915E9C"/>
    <w:rsid w:val="0092028C"/>
    <w:rsid w:val="009241B1"/>
    <w:rsid w:val="00973BDF"/>
    <w:rsid w:val="00986A7A"/>
    <w:rsid w:val="00996934"/>
    <w:rsid w:val="009A0FFC"/>
    <w:rsid w:val="009A3E81"/>
    <w:rsid w:val="009B18CB"/>
    <w:rsid w:val="009B4881"/>
    <w:rsid w:val="009B6C97"/>
    <w:rsid w:val="009B71F5"/>
    <w:rsid w:val="009D4EA1"/>
    <w:rsid w:val="009D7DA5"/>
    <w:rsid w:val="009E5980"/>
    <w:rsid w:val="009F4A07"/>
    <w:rsid w:val="00A1600C"/>
    <w:rsid w:val="00A17E02"/>
    <w:rsid w:val="00A26827"/>
    <w:rsid w:val="00A27B4E"/>
    <w:rsid w:val="00A41EB8"/>
    <w:rsid w:val="00A636AD"/>
    <w:rsid w:val="00A75A69"/>
    <w:rsid w:val="00A77D24"/>
    <w:rsid w:val="00A83ABC"/>
    <w:rsid w:val="00A976B0"/>
    <w:rsid w:val="00AA166F"/>
    <w:rsid w:val="00AA30FD"/>
    <w:rsid w:val="00AA3C53"/>
    <w:rsid w:val="00AB0089"/>
    <w:rsid w:val="00AB5A99"/>
    <w:rsid w:val="00AF43ED"/>
    <w:rsid w:val="00B303AD"/>
    <w:rsid w:val="00B3079F"/>
    <w:rsid w:val="00B40D17"/>
    <w:rsid w:val="00B471C4"/>
    <w:rsid w:val="00B5241F"/>
    <w:rsid w:val="00B5600F"/>
    <w:rsid w:val="00B57EC0"/>
    <w:rsid w:val="00B7124F"/>
    <w:rsid w:val="00B72BC3"/>
    <w:rsid w:val="00B82C79"/>
    <w:rsid w:val="00B84E21"/>
    <w:rsid w:val="00B85F7D"/>
    <w:rsid w:val="00BA028F"/>
    <w:rsid w:val="00BA4888"/>
    <w:rsid w:val="00BB0D89"/>
    <w:rsid w:val="00BF0C8D"/>
    <w:rsid w:val="00BF3684"/>
    <w:rsid w:val="00C26256"/>
    <w:rsid w:val="00C26A06"/>
    <w:rsid w:val="00C27C5D"/>
    <w:rsid w:val="00C567FD"/>
    <w:rsid w:val="00C8623F"/>
    <w:rsid w:val="00CA20C4"/>
    <w:rsid w:val="00CA2329"/>
    <w:rsid w:val="00CE0A1B"/>
    <w:rsid w:val="00CE495B"/>
    <w:rsid w:val="00CF2692"/>
    <w:rsid w:val="00D316AA"/>
    <w:rsid w:val="00D31FE1"/>
    <w:rsid w:val="00D3486A"/>
    <w:rsid w:val="00D4002B"/>
    <w:rsid w:val="00D56332"/>
    <w:rsid w:val="00D817EC"/>
    <w:rsid w:val="00DA16C0"/>
    <w:rsid w:val="00DB298B"/>
    <w:rsid w:val="00DD2166"/>
    <w:rsid w:val="00DE2BE5"/>
    <w:rsid w:val="00DE730A"/>
    <w:rsid w:val="00E11811"/>
    <w:rsid w:val="00E152B7"/>
    <w:rsid w:val="00E6340D"/>
    <w:rsid w:val="00E771B6"/>
    <w:rsid w:val="00E81F74"/>
    <w:rsid w:val="00E8609D"/>
    <w:rsid w:val="00ED6B4F"/>
    <w:rsid w:val="00EE0D9C"/>
    <w:rsid w:val="00EF0DA8"/>
    <w:rsid w:val="00EF1A23"/>
    <w:rsid w:val="00EF6D0E"/>
    <w:rsid w:val="00F058F9"/>
    <w:rsid w:val="00F07154"/>
    <w:rsid w:val="00F15236"/>
    <w:rsid w:val="00F55F6B"/>
    <w:rsid w:val="00F615B6"/>
    <w:rsid w:val="00F66E95"/>
    <w:rsid w:val="00F80DD5"/>
    <w:rsid w:val="00F92176"/>
    <w:rsid w:val="00F93C41"/>
    <w:rsid w:val="00F96484"/>
    <w:rsid w:val="00F9744D"/>
    <w:rsid w:val="00FA31B2"/>
    <w:rsid w:val="00FB36DF"/>
    <w:rsid w:val="00FB3E02"/>
    <w:rsid w:val="00FB702B"/>
    <w:rsid w:val="00FC6C17"/>
    <w:rsid w:val="00FE4748"/>
    <w:rsid w:val="00FF15B2"/>
    <w:rsid w:val="00FF50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7E350E"/>
  <w15:docId w15:val="{D07FAC5F-668B-42EB-A770-2F0B5FCC5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B4F"/>
  </w:style>
  <w:style w:type="paragraph" w:styleId="Heading1">
    <w:name w:val="heading 1"/>
    <w:basedOn w:val="Normal"/>
    <w:next w:val="Normal"/>
    <w:link w:val="Heading1Char"/>
    <w:uiPriority w:val="9"/>
    <w:qFormat/>
    <w:rsid w:val="00D3486A"/>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D3486A"/>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0D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6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484"/>
    <w:rPr>
      <w:rFonts w:ascii="Tahoma" w:hAnsi="Tahoma" w:cs="Tahoma"/>
      <w:sz w:val="16"/>
      <w:szCs w:val="16"/>
    </w:rPr>
  </w:style>
  <w:style w:type="paragraph" w:styleId="Header">
    <w:name w:val="header"/>
    <w:basedOn w:val="Normal"/>
    <w:link w:val="HeaderChar"/>
    <w:uiPriority w:val="99"/>
    <w:unhideWhenUsed/>
    <w:rsid w:val="002754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484"/>
  </w:style>
  <w:style w:type="paragraph" w:styleId="Footer">
    <w:name w:val="footer"/>
    <w:basedOn w:val="Normal"/>
    <w:link w:val="FooterChar"/>
    <w:uiPriority w:val="99"/>
    <w:unhideWhenUsed/>
    <w:rsid w:val="002754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484"/>
  </w:style>
  <w:style w:type="character" w:styleId="PlaceholderText">
    <w:name w:val="Placeholder Text"/>
    <w:basedOn w:val="DefaultParagraphFont"/>
    <w:uiPriority w:val="99"/>
    <w:semiHidden/>
    <w:rsid w:val="00275484"/>
    <w:rPr>
      <w:color w:val="808080"/>
    </w:rPr>
  </w:style>
  <w:style w:type="paragraph" w:styleId="ListParagraph">
    <w:name w:val="List Paragraph"/>
    <w:basedOn w:val="Normal"/>
    <w:uiPriority w:val="34"/>
    <w:qFormat/>
    <w:rsid w:val="001F0A28"/>
    <w:pPr>
      <w:ind w:left="720"/>
      <w:contextualSpacing/>
    </w:pPr>
  </w:style>
  <w:style w:type="character" w:styleId="Hyperlink">
    <w:name w:val="Hyperlink"/>
    <w:basedOn w:val="DefaultParagraphFont"/>
    <w:uiPriority w:val="99"/>
    <w:unhideWhenUsed/>
    <w:rsid w:val="00CA2329"/>
    <w:rPr>
      <w:color w:val="0000FF"/>
      <w:u w:val="single"/>
    </w:rPr>
  </w:style>
  <w:style w:type="character" w:styleId="FollowedHyperlink">
    <w:name w:val="FollowedHyperlink"/>
    <w:basedOn w:val="DefaultParagraphFont"/>
    <w:uiPriority w:val="99"/>
    <w:semiHidden/>
    <w:unhideWhenUsed/>
    <w:rsid w:val="00CA2329"/>
    <w:rPr>
      <w:color w:val="800080" w:themeColor="followedHyperlink"/>
      <w:u w:val="single"/>
    </w:rPr>
  </w:style>
  <w:style w:type="character" w:customStyle="1" w:styleId="UnresolvedMention1">
    <w:name w:val="Unresolved Mention1"/>
    <w:basedOn w:val="DefaultParagraphFont"/>
    <w:uiPriority w:val="99"/>
    <w:semiHidden/>
    <w:unhideWhenUsed/>
    <w:rsid w:val="006B122D"/>
    <w:rPr>
      <w:color w:val="605E5C"/>
      <w:shd w:val="clear" w:color="auto" w:fill="E1DFDD"/>
    </w:rPr>
  </w:style>
  <w:style w:type="paragraph" w:customStyle="1" w:styleId="TableParagraph">
    <w:name w:val="Table Paragraph"/>
    <w:basedOn w:val="Normal"/>
    <w:uiPriority w:val="1"/>
    <w:qFormat/>
    <w:rsid w:val="0022753D"/>
    <w:pPr>
      <w:widowControl w:val="0"/>
      <w:autoSpaceDE w:val="0"/>
      <w:autoSpaceDN w:val="0"/>
      <w:spacing w:after="0" w:line="240" w:lineRule="auto"/>
      <w:ind w:left="107"/>
    </w:pPr>
    <w:rPr>
      <w:rFonts w:ascii="Calibri" w:eastAsia="Calibri" w:hAnsi="Calibri" w:cs="Calibri"/>
      <w:lang w:val="en-US"/>
    </w:rPr>
  </w:style>
  <w:style w:type="paragraph" w:styleId="NormalWeb">
    <w:name w:val="Normal (Web)"/>
    <w:basedOn w:val="Normal"/>
    <w:uiPriority w:val="99"/>
    <w:semiHidden/>
    <w:unhideWhenUsed/>
    <w:rsid w:val="00817F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17F6D"/>
    <w:rPr>
      <w:b/>
      <w:bCs/>
    </w:rPr>
  </w:style>
  <w:style w:type="character" w:styleId="CommentReference">
    <w:name w:val="annotation reference"/>
    <w:basedOn w:val="DefaultParagraphFont"/>
    <w:uiPriority w:val="99"/>
    <w:semiHidden/>
    <w:unhideWhenUsed/>
    <w:rsid w:val="002F50C7"/>
    <w:rPr>
      <w:sz w:val="16"/>
      <w:szCs w:val="16"/>
    </w:rPr>
  </w:style>
  <w:style w:type="paragraph" w:styleId="CommentText">
    <w:name w:val="annotation text"/>
    <w:basedOn w:val="Normal"/>
    <w:link w:val="CommentTextChar"/>
    <w:uiPriority w:val="99"/>
    <w:unhideWhenUsed/>
    <w:rsid w:val="002F50C7"/>
    <w:pPr>
      <w:spacing w:line="240" w:lineRule="auto"/>
    </w:pPr>
    <w:rPr>
      <w:sz w:val="20"/>
      <w:szCs w:val="20"/>
    </w:rPr>
  </w:style>
  <w:style w:type="character" w:customStyle="1" w:styleId="CommentTextChar">
    <w:name w:val="Comment Text Char"/>
    <w:basedOn w:val="DefaultParagraphFont"/>
    <w:link w:val="CommentText"/>
    <w:uiPriority w:val="99"/>
    <w:rsid w:val="002F50C7"/>
    <w:rPr>
      <w:sz w:val="20"/>
      <w:szCs w:val="20"/>
    </w:rPr>
  </w:style>
  <w:style w:type="paragraph" w:styleId="CommentSubject">
    <w:name w:val="annotation subject"/>
    <w:basedOn w:val="CommentText"/>
    <w:next w:val="CommentText"/>
    <w:link w:val="CommentSubjectChar"/>
    <w:uiPriority w:val="99"/>
    <w:semiHidden/>
    <w:unhideWhenUsed/>
    <w:rsid w:val="002F50C7"/>
    <w:rPr>
      <w:b/>
      <w:bCs/>
    </w:rPr>
  </w:style>
  <w:style w:type="character" w:customStyle="1" w:styleId="CommentSubjectChar">
    <w:name w:val="Comment Subject Char"/>
    <w:basedOn w:val="CommentTextChar"/>
    <w:link w:val="CommentSubject"/>
    <w:uiPriority w:val="99"/>
    <w:semiHidden/>
    <w:rsid w:val="002F50C7"/>
    <w:rPr>
      <w:b/>
      <w:bCs/>
      <w:sz w:val="20"/>
      <w:szCs w:val="20"/>
    </w:rPr>
  </w:style>
  <w:style w:type="paragraph" w:styleId="Revision">
    <w:name w:val="Revision"/>
    <w:hidden/>
    <w:uiPriority w:val="99"/>
    <w:semiHidden/>
    <w:rsid w:val="00A41EB8"/>
    <w:pPr>
      <w:spacing w:after="0" w:line="240" w:lineRule="auto"/>
    </w:pPr>
  </w:style>
  <w:style w:type="character" w:customStyle="1" w:styleId="Heading1Char">
    <w:name w:val="Heading 1 Char"/>
    <w:basedOn w:val="DefaultParagraphFont"/>
    <w:link w:val="Heading1"/>
    <w:uiPriority w:val="9"/>
    <w:rsid w:val="00D3486A"/>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D3486A"/>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013627">
      <w:bodyDiv w:val="1"/>
      <w:marLeft w:val="0"/>
      <w:marRight w:val="0"/>
      <w:marTop w:val="0"/>
      <w:marBottom w:val="0"/>
      <w:divBdr>
        <w:top w:val="none" w:sz="0" w:space="0" w:color="auto"/>
        <w:left w:val="none" w:sz="0" w:space="0" w:color="auto"/>
        <w:bottom w:val="none" w:sz="0" w:space="0" w:color="auto"/>
        <w:right w:val="none" w:sz="0" w:space="0" w:color="auto"/>
      </w:divBdr>
    </w:div>
    <w:div w:id="1622036420">
      <w:bodyDiv w:val="1"/>
      <w:marLeft w:val="0"/>
      <w:marRight w:val="0"/>
      <w:marTop w:val="0"/>
      <w:marBottom w:val="0"/>
      <w:divBdr>
        <w:top w:val="none" w:sz="0" w:space="0" w:color="auto"/>
        <w:left w:val="none" w:sz="0" w:space="0" w:color="auto"/>
        <w:bottom w:val="none" w:sz="0" w:space="0" w:color="auto"/>
        <w:right w:val="none" w:sz="0" w:space="0" w:color="auto"/>
      </w:divBdr>
    </w:div>
    <w:div w:id="173650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38E49-1B68-4357-B0EF-49211A984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1124</Words>
  <Characters>6410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Report Title: INSERT REPORT TITLE</vt:lpstr>
    </vt:vector>
  </TitlesOfParts>
  <Company>DBH</Company>
  <LinksUpToDate>false</LinksUpToDate>
  <CharactersWithSpaces>7519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Title: INSERT REPORT TITLE</dc:title>
  <dc:subject/>
  <dc:creator>Author</dc:creator>
  <cp:keywords/>
  <dc:description/>
  <cp:lastModifiedBy>LINTIN, Zoe (DONCASTER AND BASSETLAW TEACHING HOSPITALS NHS FOUNDATION TRUST)</cp:lastModifiedBy>
  <cp:revision>3</cp:revision>
  <cp:lastPrinted>2025-12-04T16:05:00Z</cp:lastPrinted>
  <dcterms:created xsi:type="dcterms:W3CDTF">2026-02-12T08:17:00Z</dcterms:created>
  <dcterms:modified xsi:type="dcterms:W3CDTF">2026-02-12T08:40:00Z</dcterms:modified>
</cp:coreProperties>
</file>